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F7E85" w14:textId="26D3B896" w:rsidR="00E90E49" w:rsidRPr="00CE0424" w:rsidRDefault="00E90E49" w:rsidP="00E35559">
      <w:pPr>
        <w:pStyle w:val="3GPPHeader"/>
        <w:spacing w:after="60"/>
        <w:rPr>
          <w:sz w:val="32"/>
          <w:szCs w:val="32"/>
          <w:highlight w:val="yellow"/>
        </w:rPr>
      </w:pPr>
      <w:r w:rsidRPr="00CE0424">
        <w:t>3GPP TSG-RAN WG</w:t>
      </w:r>
      <w:r w:rsidR="00F20F5C">
        <w:t>2</w:t>
      </w:r>
      <w:r w:rsidR="00AC0D28">
        <w:t xml:space="preserve"> </w:t>
      </w:r>
      <w:r w:rsidRPr="00CE0424">
        <w:t>#</w:t>
      </w:r>
      <w:r w:rsidR="00F20F5C">
        <w:t>1</w:t>
      </w:r>
      <w:r w:rsidR="00C268E6">
        <w:t>1</w:t>
      </w:r>
      <w:r w:rsidR="00AB3AF9">
        <w:t>9</w:t>
      </w:r>
      <w:r w:rsidR="00AC0D28">
        <w:t>-bis-e</w:t>
      </w:r>
      <w:r w:rsidRPr="00CE0424">
        <w:tab/>
      </w:r>
      <w:r w:rsidR="00A627C2" w:rsidRPr="00A627C2">
        <w:rPr>
          <w:sz w:val="32"/>
          <w:szCs w:val="32"/>
        </w:rPr>
        <w:t>R2-2210732</w:t>
      </w:r>
    </w:p>
    <w:p w14:paraId="752598DE" w14:textId="31C68A43" w:rsidR="00E90E49" w:rsidRPr="00CE0424" w:rsidRDefault="00C268E6" w:rsidP="00311702">
      <w:pPr>
        <w:pStyle w:val="3GPPHeader"/>
      </w:pPr>
      <w:r>
        <w:t xml:space="preserve">Electronic meeting, </w:t>
      </w:r>
      <w:r w:rsidR="00D9310F" w:rsidRPr="00D9310F">
        <w:t>202</w:t>
      </w:r>
      <w:r w:rsidR="00AB3AF9">
        <w:t>2</w:t>
      </w:r>
      <w:r w:rsidR="00D9310F" w:rsidRPr="00D9310F">
        <w:t>-</w:t>
      </w:r>
      <w:r w:rsidR="00AC0D28">
        <w:t>10</w:t>
      </w:r>
      <w:r w:rsidR="00D9310F" w:rsidRPr="00D9310F">
        <w:t>-</w:t>
      </w:r>
      <w:r w:rsidR="00FA3AD7">
        <w:t>1</w:t>
      </w:r>
      <w:r w:rsidR="00AC0D28">
        <w:t>0</w:t>
      </w:r>
      <w:r w:rsidR="005640C9">
        <w:t xml:space="preserve"> – 202</w:t>
      </w:r>
      <w:r w:rsidR="00BD6540">
        <w:t>2</w:t>
      </w:r>
      <w:r w:rsidR="005640C9">
        <w:t>-</w:t>
      </w:r>
      <w:r w:rsidR="00AC0D28">
        <w:t>10</w:t>
      </w:r>
      <w:r w:rsidR="005640C9">
        <w:t>-</w:t>
      </w:r>
      <w:r w:rsidR="00AC0D28">
        <w:t>1</w:t>
      </w:r>
      <w:r w:rsidR="00144945">
        <w:t>9</w:t>
      </w:r>
    </w:p>
    <w:p w14:paraId="3E6673B6" w14:textId="77777777" w:rsidR="00E90E49" w:rsidRPr="00CE0424" w:rsidRDefault="00E90E49" w:rsidP="00357380">
      <w:pPr>
        <w:pStyle w:val="3GPPHeader"/>
      </w:pPr>
    </w:p>
    <w:p w14:paraId="7B71D8B7" w14:textId="358B120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A3AD7">
        <w:rPr>
          <w:sz w:val="22"/>
          <w:szCs w:val="22"/>
        </w:rPr>
        <w:t>8.7.4</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2D662E07" w:rsidR="00E90E49" w:rsidRPr="00CE0424" w:rsidRDefault="003D3C45" w:rsidP="00311702">
      <w:pPr>
        <w:pStyle w:val="3GPPHeader"/>
        <w:rPr>
          <w:sz w:val="22"/>
          <w:szCs w:val="22"/>
        </w:rPr>
      </w:pPr>
      <w:r>
        <w:rPr>
          <w:sz w:val="22"/>
          <w:szCs w:val="22"/>
        </w:rPr>
        <w:t>Title:</w:t>
      </w:r>
      <w:r w:rsidR="00E90E49" w:rsidRPr="00CE0424">
        <w:rPr>
          <w:sz w:val="22"/>
          <w:szCs w:val="22"/>
        </w:rPr>
        <w:tab/>
      </w:r>
      <w:r w:rsidR="00045800">
        <w:rPr>
          <w:sz w:val="22"/>
          <w:szCs w:val="22"/>
        </w:rPr>
        <w:t xml:space="preserve">R18 NR NTN </w:t>
      </w:r>
      <w:r w:rsidR="00AB3AF9">
        <w:rPr>
          <w:sz w:val="22"/>
          <w:szCs w:val="22"/>
        </w:rPr>
        <w:t>Mobility 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531CF444" w14:textId="5B5853E3" w:rsidR="00FA3AD7" w:rsidRDefault="00FA3AD7" w:rsidP="00FA3AD7">
      <w:pPr>
        <w:pStyle w:val="BodyText"/>
      </w:pPr>
      <w:r>
        <w:t>The work item for NR NTN enhancements in Rel-18 [1] emphasize</w:t>
      </w:r>
      <w:r w:rsidR="00761CF8">
        <w:t>s</w:t>
      </w:r>
      <w:r>
        <w:t xml:space="preserve"> NTN-TN and NTN-NTN mobility and service continuity as an important area for improvements.</w:t>
      </w:r>
    </w:p>
    <w:p w14:paraId="18D3ADA5" w14:textId="77777777" w:rsidR="00FA3AD7" w:rsidRDefault="00FA3AD7" w:rsidP="00FA3AD7">
      <w:pPr>
        <w:pStyle w:val="BodyText"/>
      </w:pPr>
      <w:r>
        <w:t>For handover enhancements, the WID points out the following two aspects to consider:</w:t>
      </w:r>
    </w:p>
    <w:p w14:paraId="0BB95DB9" w14:textId="65FCF235" w:rsidR="00FA3AD7" w:rsidRDefault="00FA3AD7" w:rsidP="00FA3AD7">
      <w:pPr>
        <w:pStyle w:val="BodyText"/>
        <w:numPr>
          <w:ilvl w:val="0"/>
          <w:numId w:val="23"/>
        </w:numPr>
      </w:pPr>
      <w:r>
        <w:t>“</w:t>
      </w:r>
      <w:r w:rsidRPr="00FA3AD7">
        <w:rPr>
          <w:i/>
          <w:iCs/>
        </w:rPr>
        <w:t>Specify NTN-NTN handover enhancements for RRC_CONNECTED UEs in the quasi-earth-fixed cell and earth-moving cell to reduce the signalling overhead.</w:t>
      </w:r>
      <w:r>
        <w:t>”</w:t>
      </w:r>
    </w:p>
    <w:p w14:paraId="614D4052" w14:textId="434EE58D" w:rsidR="00FA3AD7" w:rsidRDefault="00FA3AD7" w:rsidP="00FA3AD7">
      <w:pPr>
        <w:pStyle w:val="BodyText"/>
        <w:numPr>
          <w:ilvl w:val="0"/>
          <w:numId w:val="23"/>
        </w:numPr>
      </w:pPr>
      <w:r>
        <w:t>“</w:t>
      </w:r>
      <w:r w:rsidRPr="00FA3AD7">
        <w:rPr>
          <w:i/>
          <w:iCs/>
        </w:rPr>
        <w:t>Study and, if needed, specify enhancement to Xn[/NG] signalling to support feeder link switch-over, CHO, e.g. exchange of necessary information between gNBs.</w:t>
      </w:r>
      <w:r>
        <w:t>”</w:t>
      </w:r>
    </w:p>
    <w:p w14:paraId="6BA979E1" w14:textId="45119676" w:rsidR="00FA3AD7" w:rsidRDefault="00A063F2" w:rsidP="00FA3AD7">
      <w:pPr>
        <w:pStyle w:val="BodyText"/>
      </w:pPr>
      <w:r>
        <w:t>And f</w:t>
      </w:r>
      <w:r w:rsidR="00F344DB">
        <w:t xml:space="preserve">or cell reselection </w:t>
      </w:r>
      <w:r>
        <w:t>enhancements, the following aspects:</w:t>
      </w:r>
    </w:p>
    <w:p w14:paraId="4EC60A01" w14:textId="5AFBFFDC" w:rsidR="00A063F2" w:rsidRDefault="00A063F2" w:rsidP="00A063F2">
      <w:pPr>
        <w:pStyle w:val="BodyText"/>
        <w:numPr>
          <w:ilvl w:val="0"/>
          <w:numId w:val="31"/>
        </w:numPr>
      </w:pPr>
      <w:r>
        <w:t>“</w:t>
      </w:r>
      <w:r w:rsidRPr="00A063F2">
        <w:rPr>
          <w:i/>
          <w:iCs/>
        </w:rPr>
        <w:t>For NTN-NTN mobility, specify cell reselection enhancements for earth moving cell, the timing based and location-based cell reselection for quasi-earth fixed cell in Rel-17 can be considered as the starting point.</w:t>
      </w:r>
      <w:r>
        <w:t>”</w:t>
      </w:r>
    </w:p>
    <w:p w14:paraId="1093785C" w14:textId="6EFAD33A" w:rsidR="00A063F2" w:rsidRDefault="00A063F2" w:rsidP="00A063F2">
      <w:pPr>
        <w:pStyle w:val="BodyText"/>
        <w:numPr>
          <w:ilvl w:val="0"/>
          <w:numId w:val="31"/>
        </w:numPr>
      </w:pPr>
      <w:r>
        <w:t>“</w:t>
      </w:r>
      <w:r w:rsidRPr="00A063F2">
        <w:rPr>
          <w:i/>
          <w:iCs/>
        </w:rPr>
        <w:t>Specify cell reselection enhancements for RRC_IDLE/INACTIVE UEs to reduce UE power consumption (NTN-TN mobility is prioritized).</w:t>
      </w:r>
      <w:r>
        <w:t>”</w:t>
      </w:r>
    </w:p>
    <w:p w14:paraId="257C08D4" w14:textId="7F483D6B" w:rsidR="00477768" w:rsidRPr="00CE0424" w:rsidRDefault="00FA3AD7" w:rsidP="00FA3AD7">
      <w:pPr>
        <w:pStyle w:val="BodyText"/>
      </w:pPr>
      <w:r>
        <w:t>In this paper</w:t>
      </w:r>
      <w:r w:rsidR="00511BBB">
        <w:t>,</w:t>
      </w:r>
      <w:r>
        <w:t xml:space="preserve"> we address the aspects above.</w:t>
      </w:r>
    </w:p>
    <w:p w14:paraId="040D06C5" w14:textId="29A766E6" w:rsidR="001E1F63" w:rsidRDefault="00230D18" w:rsidP="003378D6">
      <w:pPr>
        <w:pStyle w:val="Heading1"/>
      </w:pPr>
      <w:bookmarkStart w:id="0" w:name="_Ref178064866"/>
      <w:r>
        <w:t>2</w:t>
      </w:r>
      <w:r>
        <w:tab/>
      </w:r>
      <w:r w:rsidR="004000E8" w:rsidRPr="00CE0424">
        <w:t>Discussion</w:t>
      </w:r>
      <w:bookmarkEnd w:id="0"/>
    </w:p>
    <w:p w14:paraId="146033D2" w14:textId="5C07C83A" w:rsidR="001E1F63" w:rsidRDefault="001E1F63" w:rsidP="001E1F63">
      <w:pPr>
        <w:pStyle w:val="Heading2"/>
      </w:pPr>
      <w:r>
        <w:t>2.</w:t>
      </w:r>
      <w:r w:rsidR="003378D6">
        <w:t>1</w:t>
      </w:r>
      <w:r>
        <w:tab/>
        <w:t>RACH-less handover</w:t>
      </w:r>
    </w:p>
    <w:p w14:paraId="6086E103" w14:textId="44008D79" w:rsidR="003378D6" w:rsidRDefault="003378D6" w:rsidP="003378D6">
      <w:pPr>
        <w:pStyle w:val="BodyText"/>
      </w:pPr>
      <w:r>
        <w:t xml:space="preserve">RACH-less handover was introduced as part of the mobility enhancements WI in LTE Rel-14. In Rel-16, RACH-less handover was also discussed in the NR mobility enhancement WI but was eventually excluded after extensive discussions. In Rel-17 RACH-less handover was discussed for NR NTN but was </w:t>
      </w:r>
      <w:r w:rsidR="00DE79A4">
        <w:t>down</w:t>
      </w:r>
      <w:r>
        <w:t>-prioritized although a majority of the companies in RAN2 wanted to further study the concept.</w:t>
      </w:r>
    </w:p>
    <w:p w14:paraId="40752F19" w14:textId="32298127" w:rsidR="001E1F63" w:rsidRDefault="003378D6" w:rsidP="003378D6">
      <w:pPr>
        <w:pStyle w:val="BodyText"/>
      </w:pPr>
      <w:r>
        <w:t xml:space="preserve">The RACH-less handover concept basically means that Msg1 and Msg2 are excluded in the random access procedure and that the first transmission in the target cell is the message confirming the completion of the handover. In the absence of a </w:t>
      </w:r>
      <w:r w:rsidR="00FE7947">
        <w:t>random-access</w:t>
      </w:r>
      <w:r>
        <w:t xml:space="preserve"> procedure, UL transmission resources for the first message in the target cell </w:t>
      </w:r>
      <w:r w:rsidR="00DE79A4">
        <w:t xml:space="preserve">are </w:t>
      </w:r>
      <w:r>
        <w:t>allocated either through pre-allocated UL grants, or by dynamically allocated UL grants in the target cell without preceding scheduling requests</w:t>
      </w:r>
      <w:r w:rsidR="001E1F63">
        <w:t xml:space="preserve">. </w:t>
      </w:r>
    </w:p>
    <w:p w14:paraId="6A9C9F68" w14:textId="619E3423" w:rsidR="001E1F63" w:rsidRDefault="001E1F63" w:rsidP="001E1F63">
      <w:pPr>
        <w:pStyle w:val="Heading3"/>
      </w:pPr>
      <w:r>
        <w:t>2.</w:t>
      </w:r>
      <w:r w:rsidR="003378D6">
        <w:t>1</w:t>
      </w:r>
      <w:r>
        <w:t>.</w:t>
      </w:r>
      <w:r w:rsidR="003378D6">
        <w:t>1</w:t>
      </w:r>
      <w:r>
        <w:tab/>
        <w:t>RACH-less HO for NTN</w:t>
      </w:r>
    </w:p>
    <w:p w14:paraId="27CEF417" w14:textId="74AA1D3D" w:rsidR="003378D6" w:rsidRDefault="003378D6" w:rsidP="003378D6">
      <w:pPr>
        <w:pStyle w:val="BodyText"/>
      </w:pPr>
      <w:r>
        <w:t xml:space="preserve">In both MEO and LEO based deployments, mobility in idle and connected mode is expected to be heavily impacted due to the rapid satellite movements. As an </w:t>
      </w:r>
      <w:r w:rsidR="00DE79A4">
        <w:t>example,</w:t>
      </w:r>
      <w:r>
        <w:t xml:space="preserve"> from TR 38.821 [2], a UE served by a LEO satellite with a cell diameter size of 50 km, will be forced to perform handover already after 6.61 seconds.</w:t>
      </w:r>
      <w:r w:rsidR="009D44AC">
        <w:t xml:space="preserve"> </w:t>
      </w:r>
      <w:r>
        <w:t>In such a deployment scenario, the total number of handovers per second will likely be very high and cause a significant signalling load in the network also in cells with low UE densities.</w:t>
      </w:r>
      <w:r w:rsidR="00511503">
        <w:t xml:space="preserve"> </w:t>
      </w:r>
      <w:r>
        <w:t xml:space="preserve">Even with a network configuration </w:t>
      </w:r>
      <w:r>
        <w:lastRenderedPageBreak/>
        <w:t>that maximizes the available PRACH opportunities in the target cell, the collision rate at RA will likely be very high. If we then also consider attach attempts from all the other UEs in the cell (</w:t>
      </w:r>
      <w:r w:rsidR="00DE79A4">
        <w:t>i.e.,</w:t>
      </w:r>
      <w:r>
        <w:t xml:space="preserve"> other UEs than the ones performing handover into the cell), the collision rate in the cell will increase even more.</w:t>
      </w:r>
    </w:p>
    <w:p w14:paraId="4455316C" w14:textId="617B023D" w:rsidR="00DE79A4" w:rsidRDefault="00DE79A4" w:rsidP="00FE7947">
      <w:pPr>
        <w:pStyle w:val="Observation"/>
      </w:pPr>
      <w:bookmarkStart w:id="1" w:name="_Toc115430882"/>
      <w:r>
        <w:t xml:space="preserve">Satellite movements cause a high frequency of handovers and an increase collision rate during the </w:t>
      </w:r>
      <w:r w:rsidR="00511503">
        <w:t>random-access</w:t>
      </w:r>
      <w:r>
        <w:t xml:space="preserve"> procedure</w:t>
      </w:r>
      <w:bookmarkEnd w:id="1"/>
    </w:p>
    <w:p w14:paraId="4976CE7A" w14:textId="3A565D73" w:rsidR="003378D6" w:rsidRDefault="00916BD2" w:rsidP="003378D6">
      <w:pPr>
        <w:pStyle w:val="BodyText"/>
      </w:pPr>
      <w:r>
        <w:t xml:space="preserve">During a RACH-less </w:t>
      </w:r>
      <w:r w:rsidR="00FE7947">
        <w:t>handover, the</w:t>
      </w:r>
      <w:r w:rsidR="003378D6">
        <w:t xml:space="preserve"> </w:t>
      </w:r>
      <w:r w:rsidR="00F43291">
        <w:t>random-access</w:t>
      </w:r>
      <w:r w:rsidR="003378D6">
        <w:t xml:space="preserve"> procedure and therefore the RAR message is skipped in the target cell,</w:t>
      </w:r>
      <w:r w:rsidR="001F1114">
        <w:t xml:space="preserve"> so</w:t>
      </w:r>
      <w:r w:rsidR="003378D6">
        <w:t xml:space="preserve"> the target gNB cannot determine a precise timing advance (TA) for the UE. Hence, RACH-less handover is limited to scenarios where the TA is known in advance. In practice, this means scenarios where the TA in the target cell is either the same as in the source cell, or deployment scenarios where the target cell is so small that the TA can be assumed to be always 0.</w:t>
      </w:r>
    </w:p>
    <w:p w14:paraId="0D7B61DD" w14:textId="5F8679FC" w:rsidR="001F1114" w:rsidRDefault="001F1114" w:rsidP="00FE7947">
      <w:pPr>
        <w:pStyle w:val="Observation"/>
      </w:pPr>
      <w:bookmarkStart w:id="2" w:name="_Toc115430883"/>
      <w:r>
        <w:t xml:space="preserve">RACH-less handover is limited to scenarios where the </w:t>
      </w:r>
      <w:r w:rsidR="008D1FC7">
        <w:t>TA is known (or predictable).</w:t>
      </w:r>
      <w:bookmarkEnd w:id="2"/>
    </w:p>
    <w:p w14:paraId="2B13EB56" w14:textId="533EAA31" w:rsidR="003378D6" w:rsidRDefault="003378D6" w:rsidP="003378D6">
      <w:pPr>
        <w:pStyle w:val="BodyText"/>
      </w:pPr>
      <w:r>
        <w:t>For an intra-satellite HO, the difference in propagation delay between the source cell and the target cell will be close to zero since the distance from the UE to the satellite remains the same throughout the handover.</w:t>
      </w:r>
      <w:r w:rsidR="005240F7">
        <w:t xml:space="preserve"> </w:t>
      </w:r>
      <w:r>
        <w:t>Thus, intra-satellite HO seems like an appropriate use case when to make use of the RACH-less handover procedure.</w:t>
      </w:r>
    </w:p>
    <w:p w14:paraId="36380168" w14:textId="34E22B69" w:rsidR="003378D6" w:rsidRDefault="003378D6" w:rsidP="003378D6">
      <w:pPr>
        <w:pStyle w:val="Observation"/>
      </w:pPr>
      <w:bookmarkStart w:id="3" w:name="_Toc115430884"/>
      <w:r>
        <w:t>For intra-satellite HO, the difference in propagation delay between the source and the target cell is zero</w:t>
      </w:r>
      <w:bookmarkEnd w:id="3"/>
    </w:p>
    <w:p w14:paraId="4665A7D3" w14:textId="426E12A5" w:rsidR="003378D6" w:rsidRDefault="003378D6" w:rsidP="003378D6">
      <w:pPr>
        <w:pStyle w:val="BodyText"/>
      </w:pPr>
      <w:r>
        <w:t>One of the reasons for excluding RACH-less handover from the NR mobility enhancement work back in Rel-16 was the difficulties of estimating the TA difference between the serving cell and the target cell.</w:t>
      </w:r>
      <w:r w:rsidR="005240F7">
        <w:t xml:space="preserve"> </w:t>
      </w:r>
      <w:r>
        <w:t>Now in NTN, with the assumption that all NTN UE´s are GNSS capable</w:t>
      </w:r>
      <w:r w:rsidR="005240F7">
        <w:t xml:space="preserve"> and satellite ephemeris information is broadcast in System Information</w:t>
      </w:r>
      <w:r>
        <w:t>, the UE will not only be able to estimate its TA to the serving cell in the serving satellite, but it will also be able to estimate its TA to a target cell in a different satellite.</w:t>
      </w:r>
      <w:r w:rsidR="003925BB">
        <w:t xml:space="preserve"> </w:t>
      </w:r>
      <w:r>
        <w:t>Therefore</w:t>
      </w:r>
      <w:r w:rsidR="003925BB">
        <w:t>,</w:t>
      </w:r>
      <w:r>
        <w:t xml:space="preserve"> the use of RACH-less handover with a TA based on UE estimates should also be considered for inter-satellite HO.</w:t>
      </w:r>
    </w:p>
    <w:p w14:paraId="44E42F7B" w14:textId="63571327" w:rsidR="003378D6" w:rsidRDefault="003378D6" w:rsidP="003378D6">
      <w:pPr>
        <w:pStyle w:val="Observation"/>
      </w:pPr>
      <w:bookmarkStart w:id="4" w:name="_Toc115430885"/>
      <w:r>
        <w:t>For inter-satellite HO, the UE can accurately estimate the difference in propagation delay between the source cell and the target cell</w:t>
      </w:r>
      <w:bookmarkEnd w:id="4"/>
    </w:p>
    <w:p w14:paraId="00FE55C2" w14:textId="77777777" w:rsidR="003378D6" w:rsidRDefault="003378D6" w:rsidP="003378D6">
      <w:pPr>
        <w:pStyle w:val="BodyText"/>
      </w:pPr>
      <w:r>
        <w:t>It is believed that the RACH capacity will be limited even in sparsely populated areas due to the expected cell size in NTN (compared to TN). RACH-less handover will offload the PRACH resources and thus reduce the collision rate in the target cell. It also has the potential to reduce the interruption time since it is possible to use dense pre-allocated UL grants in the HO command.</w:t>
      </w:r>
    </w:p>
    <w:p w14:paraId="382C9F4F" w14:textId="77777777" w:rsidR="003378D6" w:rsidRDefault="003378D6" w:rsidP="003378D6">
      <w:pPr>
        <w:pStyle w:val="BodyText"/>
      </w:pPr>
      <w:r>
        <w:t>In summary, RACH-less handover could result in minimized interruption times, reduced signalling overload and decreased RACH load in the target cell.</w:t>
      </w:r>
    </w:p>
    <w:p w14:paraId="22E87D82" w14:textId="41D9BD89" w:rsidR="003378D6" w:rsidRDefault="003378D6" w:rsidP="003378D6">
      <w:pPr>
        <w:pStyle w:val="Observation"/>
      </w:pPr>
      <w:bookmarkStart w:id="5" w:name="_Toc115430886"/>
      <w:r>
        <w:t>RACH-less handover will reduce signalling overload, reduce PRACH load and decrease RA collision rate in the target cell</w:t>
      </w:r>
      <w:bookmarkEnd w:id="5"/>
    </w:p>
    <w:p w14:paraId="5291017D" w14:textId="0797B7E1" w:rsidR="001E1F63" w:rsidRDefault="003378D6" w:rsidP="003378D6">
      <w:pPr>
        <w:pStyle w:val="Proposal"/>
      </w:pPr>
      <w:bookmarkStart w:id="6" w:name="_Toc115430892"/>
      <w:r>
        <w:t xml:space="preserve">RAN2 to </w:t>
      </w:r>
      <w:r w:rsidR="00C9582A">
        <w:t xml:space="preserve">work in adapting RACH-less </w:t>
      </w:r>
      <w:r>
        <w:t xml:space="preserve">handover </w:t>
      </w:r>
      <w:r w:rsidR="00C9582A">
        <w:t>to NR</w:t>
      </w:r>
      <w:r>
        <w:t xml:space="preserve"> NTN in Rel-18</w:t>
      </w:r>
      <w:bookmarkEnd w:id="6"/>
    </w:p>
    <w:p w14:paraId="3CC73F83" w14:textId="77777777" w:rsidR="001E1F63" w:rsidRDefault="001E1F63" w:rsidP="00FA3AD7">
      <w:pPr>
        <w:pStyle w:val="BodyText"/>
      </w:pPr>
    </w:p>
    <w:p w14:paraId="1118EAEB" w14:textId="66EDFB68" w:rsidR="002A501D" w:rsidRDefault="002A501D" w:rsidP="002A501D">
      <w:pPr>
        <w:pStyle w:val="Heading2"/>
      </w:pPr>
      <w:r>
        <w:t>2.2</w:t>
      </w:r>
      <w:r>
        <w:tab/>
        <w:t>Reduction of signalling overhead during handover preparation phase</w:t>
      </w:r>
    </w:p>
    <w:p w14:paraId="03F8FC83" w14:textId="3FF3263C" w:rsidR="002A501D" w:rsidRDefault="008C428A" w:rsidP="002A501D">
      <w:pPr>
        <w:pStyle w:val="BodyText"/>
      </w:pPr>
      <w:r>
        <w:t>Before</w:t>
      </w:r>
      <w:r w:rsidR="00641226">
        <w:t xml:space="preserve"> </w:t>
      </w:r>
      <w:r w:rsidR="00C751A2">
        <w:t>expiration of the cell serving time (t-service), in</w:t>
      </w:r>
      <w:r w:rsidR="00641226">
        <w:t xml:space="preserve"> </w:t>
      </w:r>
      <w:r w:rsidR="002A501D">
        <w:t xml:space="preserve">a quasi-earth fixed cell scenario, a vast majority of the UEs in the source cell need to perform handover to the same target cell, replacing the coverage area of the source cell, within a very short time period. This </w:t>
      </w:r>
      <w:r w:rsidR="00C751A2">
        <w:t>applies</w:t>
      </w:r>
      <w:r w:rsidR="002A501D">
        <w:t xml:space="preserve"> regardless of the UE location within the source cell</w:t>
      </w:r>
      <w:r w:rsidR="00111088">
        <w:t xml:space="preserve">, with a few exceptions, </w:t>
      </w:r>
      <w:r w:rsidR="001F03E8">
        <w:t>e.g.,</w:t>
      </w:r>
      <w:r w:rsidR="00570F84">
        <w:t xml:space="preserve"> if the</w:t>
      </w:r>
      <w:r w:rsidR="00111088">
        <w:t xml:space="preserve"> UEs </w:t>
      </w:r>
      <w:r w:rsidR="00570F84">
        <w:t xml:space="preserve">is </w:t>
      </w:r>
      <w:r w:rsidR="001F03E8">
        <w:t>moving closer</w:t>
      </w:r>
      <w:r w:rsidR="00570F84">
        <w:t xml:space="preserve"> to a neighbour </w:t>
      </w:r>
      <w:r w:rsidR="00111088">
        <w:t>cell</w:t>
      </w:r>
      <w:r w:rsidR="00570F84" w:rsidRPr="00570F84">
        <w:rPr>
          <w:rFonts w:ascii="Times New Roman" w:hAnsi="Times New Roman"/>
          <w:lang w:eastAsia="ja-JP"/>
        </w:rPr>
        <w:t xml:space="preserve"> </w:t>
      </w:r>
      <w:r w:rsidR="00570F84" w:rsidRPr="00570F84">
        <w:t>which is not taking over the main coverage area of the source cell</w:t>
      </w:r>
      <w:r w:rsidR="002A501D">
        <w:t>.</w:t>
      </w:r>
    </w:p>
    <w:p w14:paraId="01FBD77B" w14:textId="77777777" w:rsidR="002A501D" w:rsidRDefault="002A501D" w:rsidP="002A501D">
      <w:pPr>
        <w:pStyle w:val="BodyText"/>
      </w:pPr>
      <w:r>
        <w:t>Due to the short time of overlap when the source cell and the target cell are covering the same geographical area, the handover execution need to take place within a very short time frame i.e., during the short period of overlap.</w:t>
      </w:r>
    </w:p>
    <w:p w14:paraId="35862B67" w14:textId="704B48F9" w:rsidR="002A501D" w:rsidRDefault="002A501D" w:rsidP="002A501D">
      <w:pPr>
        <w:pStyle w:val="BodyText"/>
      </w:pPr>
      <w:r>
        <w:t xml:space="preserve">This may </w:t>
      </w:r>
      <w:r w:rsidR="00286A97">
        <w:t xml:space="preserve">of course </w:t>
      </w:r>
      <w:r>
        <w:t>cause a high load peak on the RA processing resources in the target cell and to the signalling and processing resources in the source cell during the handover preparation phase. The load peak during the RA procedure can be addressed with RACH-less handover as discussed in previous section, while the increased signalling load during the handover preparation phase requires another measure(s).</w:t>
      </w:r>
    </w:p>
    <w:p w14:paraId="331FE40B" w14:textId="76750DC4" w:rsidR="00735554" w:rsidRDefault="000B0496" w:rsidP="002C74CB">
      <w:pPr>
        <w:pStyle w:val="Observation"/>
      </w:pPr>
      <w:bookmarkStart w:id="7" w:name="_Toc115430887"/>
      <w:r>
        <w:t xml:space="preserve">In </w:t>
      </w:r>
      <w:r w:rsidR="00735554">
        <w:t>NTN</w:t>
      </w:r>
      <w:r>
        <w:t>,</w:t>
      </w:r>
      <w:r w:rsidR="00735554">
        <w:t xml:space="preserve"> </w:t>
      </w:r>
      <w:r>
        <w:t xml:space="preserve">earth fixed </w:t>
      </w:r>
      <w:r w:rsidR="00735554">
        <w:t xml:space="preserve">cell change </w:t>
      </w:r>
      <w:r w:rsidR="00F30193">
        <w:t>involves a considerable signalling load during the handover preparation.</w:t>
      </w:r>
      <w:bookmarkEnd w:id="7"/>
    </w:p>
    <w:p w14:paraId="4EC8E5FB" w14:textId="66967817" w:rsidR="002A501D" w:rsidRDefault="002A501D" w:rsidP="002A501D">
      <w:pPr>
        <w:pStyle w:val="BodyText"/>
      </w:pPr>
      <w:r>
        <w:t>Likely, Conditional Handover (CHO) and a time-based condition will be configured to each UE in the concerned scenario(s). Not only since the time window when the UE may perform the handover is predictable, but also since CHO will mitigate the signalling load in the source cell.</w:t>
      </w:r>
      <w:r w:rsidR="00EA261A">
        <w:t xml:space="preserve"> </w:t>
      </w:r>
      <w:r>
        <w:t>With CHO, handover preparation information can be sent to each UE well in time before the conditional handover is executed i.e., before the short time of overlap of the old (source) and the new (target) cell.</w:t>
      </w:r>
    </w:p>
    <w:p w14:paraId="0C2BADB8" w14:textId="10B59711" w:rsidR="002A501D" w:rsidRDefault="002A501D" w:rsidP="002A501D">
      <w:pPr>
        <w:pStyle w:val="Observation"/>
      </w:pPr>
      <w:bookmarkStart w:id="8" w:name="_Toc115430888"/>
      <w:r>
        <w:t>CHO will mitigate the signalling load in the source cell since handover preparation information can be sent well in time before the short time of overlap of the old (source) and the new (target) cell.</w:t>
      </w:r>
      <w:bookmarkEnd w:id="8"/>
    </w:p>
    <w:p w14:paraId="02B43607" w14:textId="2C0AFB26" w:rsidR="002A501D" w:rsidRDefault="002A501D" w:rsidP="002A501D">
      <w:pPr>
        <w:pStyle w:val="BodyText"/>
      </w:pPr>
      <w:r>
        <w:t>However, considering most of the UEs in the old (source) cell will be handed over to the same (candidate) target cell (replacing the coverage area of the old cell), it is also likely that most of the information provided to each UE in the (C)HO command (</w:t>
      </w:r>
      <w:r w:rsidRPr="002A501D">
        <w:rPr>
          <w:i/>
          <w:iCs/>
        </w:rPr>
        <w:t>reconfigurationWithSync</w:t>
      </w:r>
      <w:r>
        <w:t>), describing the target cell configuration, is identical</w:t>
      </w:r>
      <w:r w:rsidR="00A52E58">
        <w:t xml:space="preserve"> (e.g. </w:t>
      </w:r>
      <w:r w:rsidR="009F470F">
        <w:t xml:space="preserve">most parameters </w:t>
      </w:r>
      <w:r w:rsidR="00A52E58">
        <w:t xml:space="preserve">in </w:t>
      </w:r>
      <w:r w:rsidR="00A52E58" w:rsidRPr="00A52E58">
        <w:rPr>
          <w:i/>
          <w:iCs/>
        </w:rPr>
        <w:t>servingCellConfigCommon</w:t>
      </w:r>
      <w:r w:rsidR="00A52E58" w:rsidRPr="00A52E58">
        <w:t xml:space="preserve"> and in </w:t>
      </w:r>
      <w:r w:rsidR="00A52E58" w:rsidRPr="00A52E58">
        <w:rPr>
          <w:i/>
          <w:iCs/>
        </w:rPr>
        <w:t>ntn-Config</w:t>
      </w:r>
      <w:r w:rsidR="00A52E58" w:rsidRPr="00A52E58">
        <w:t xml:space="preserve"> IE, describing various NTN specific parameters for accessing the target cell</w:t>
      </w:r>
      <w:r w:rsidR="00A52E58">
        <w:t>)</w:t>
      </w:r>
      <w:r>
        <w:t>.</w:t>
      </w:r>
      <w:r w:rsidR="00B747E1">
        <w:t xml:space="preserve"> Also,</w:t>
      </w:r>
      <w:r w:rsidR="00F41F88">
        <w:t xml:space="preserve"> f</w:t>
      </w:r>
      <w:r w:rsidR="00F41F88" w:rsidRPr="00F41F88">
        <w:t xml:space="preserve">rom </w:t>
      </w:r>
      <w:r w:rsidR="00B747E1">
        <w:t>a deployment</w:t>
      </w:r>
      <w:r w:rsidR="00F41F88" w:rsidRPr="00F41F88">
        <w:t xml:space="preserve"> perspective</w:t>
      </w:r>
      <w:r w:rsidR="00B747E1">
        <w:t>,</w:t>
      </w:r>
      <w:r w:rsidR="00F41F88" w:rsidRPr="00F41F88">
        <w:t xml:space="preserve"> it seems rather logical to configure these cells identically.</w:t>
      </w:r>
      <w:r>
        <w:t xml:space="preserve"> </w:t>
      </w:r>
    </w:p>
    <w:p w14:paraId="6DE60321" w14:textId="705B8DB8" w:rsidR="002A501D" w:rsidRDefault="002A501D" w:rsidP="002A501D">
      <w:pPr>
        <w:pStyle w:val="Observation"/>
      </w:pPr>
      <w:bookmarkStart w:id="9" w:name="_Toc115430889"/>
      <w:r>
        <w:t>It is expected that most of the information provided to each UE in the (C)HO command, describing the target cell configuration, is identical.</w:t>
      </w:r>
      <w:bookmarkEnd w:id="9"/>
    </w:p>
    <w:p w14:paraId="6517283B" w14:textId="5CCC189B" w:rsidR="002A501D" w:rsidRDefault="00C051F0" w:rsidP="003B554B">
      <w:pPr>
        <w:pStyle w:val="BodyText"/>
      </w:pPr>
      <w:r>
        <w:t xml:space="preserve">In this scenario, </w:t>
      </w:r>
      <w:r w:rsidR="00850550">
        <w:t>handover</w:t>
      </w:r>
      <w:r w:rsidR="00353870">
        <w:t xml:space="preserve"> related</w:t>
      </w:r>
      <w:r w:rsidR="00850550">
        <w:t xml:space="preserve"> information can be divided in</w:t>
      </w:r>
      <w:r w:rsidR="008C428A">
        <w:t>to</w:t>
      </w:r>
      <w:r w:rsidR="00353870">
        <w:t xml:space="preserve"> two groups: (1)</w:t>
      </w:r>
      <w:r w:rsidR="00850550">
        <w:t xml:space="preserve"> a common configuration, </w:t>
      </w:r>
      <w:r w:rsidR="00353870">
        <w:t xml:space="preserve">which is valid for </w:t>
      </w:r>
      <w:r w:rsidR="00850550">
        <w:t xml:space="preserve">all UEs in </w:t>
      </w:r>
      <w:r w:rsidR="00353870">
        <w:t>the source</w:t>
      </w:r>
      <w:r w:rsidR="00850550">
        <w:t xml:space="preserve"> cell, and </w:t>
      </w:r>
      <w:r w:rsidR="00353870">
        <w:t xml:space="preserve">(2) </w:t>
      </w:r>
      <w:r w:rsidR="00850550">
        <w:t>an individual configuration</w:t>
      </w:r>
      <w:r w:rsidR="004E6518">
        <w:t xml:space="preserve"> (e.g.</w:t>
      </w:r>
      <w:r w:rsidR="003254EE">
        <w:t>,</w:t>
      </w:r>
      <w:r w:rsidR="004E6518">
        <w:t xml:space="preserve"> C-RNTI</w:t>
      </w:r>
      <w:r w:rsidR="00FF0F3B">
        <w:t>)</w:t>
      </w:r>
      <w:r w:rsidR="002A501D">
        <w:t xml:space="preserve">, </w:t>
      </w:r>
      <w:r w:rsidR="003254EE">
        <w:t xml:space="preserve">that </w:t>
      </w:r>
      <w:r w:rsidR="002A501D">
        <w:t>still needs to be sent separately to each UE.</w:t>
      </w:r>
      <w:r w:rsidR="00A8760C">
        <w:t xml:space="preserve"> This information split would largely reduce the signalling overhead during the handover preparation phase.</w:t>
      </w:r>
      <w:r w:rsidR="003B554B">
        <w:t xml:space="preserve"> RAN2 can explore methods</w:t>
      </w:r>
      <w:r w:rsidR="002A501D">
        <w:t xml:space="preserve"> to provide common target cell configuration to each UE in a non-dedicated manner</w:t>
      </w:r>
      <w:r w:rsidR="003B554B">
        <w:t>, one example being</w:t>
      </w:r>
      <w:r w:rsidR="002A501D">
        <w:t xml:space="preserve"> broadcasting in system information.</w:t>
      </w:r>
    </w:p>
    <w:p w14:paraId="33D52B6C" w14:textId="5E9C4DEC" w:rsidR="007F7D8F" w:rsidRDefault="006C5F1D" w:rsidP="002A501D">
      <w:pPr>
        <w:pStyle w:val="Proposal"/>
      </w:pPr>
      <w:bookmarkStart w:id="10" w:name="_Toc115430893"/>
      <w:r>
        <w:t>Find</w:t>
      </w:r>
      <w:r w:rsidR="002A501D">
        <w:t xml:space="preserve"> methods to reduce the size of the (C)HO command by providing common target cell configuration in</w:t>
      </w:r>
      <w:r w:rsidR="000016D6">
        <w:t>, e.g.,</w:t>
      </w:r>
      <w:r w:rsidR="002A501D">
        <w:t xml:space="preserve"> system information</w:t>
      </w:r>
      <w:bookmarkEnd w:id="10"/>
    </w:p>
    <w:p w14:paraId="79575752" w14:textId="77777777" w:rsidR="002A501D" w:rsidRDefault="002A501D" w:rsidP="00FA3AD7">
      <w:pPr>
        <w:pStyle w:val="BodyText"/>
      </w:pPr>
    </w:p>
    <w:p w14:paraId="094AF42C" w14:textId="3A8BD1C3" w:rsidR="001E1F63" w:rsidRDefault="003378D6" w:rsidP="003378D6">
      <w:pPr>
        <w:pStyle w:val="Heading2"/>
      </w:pPr>
      <w:r>
        <w:t>2.</w:t>
      </w:r>
      <w:r w:rsidR="002A501D">
        <w:t>3</w:t>
      </w:r>
      <w:r>
        <w:tab/>
      </w:r>
      <w:r w:rsidR="00840992">
        <w:t>Cell reselection enhancements for Earth moving cells</w:t>
      </w:r>
    </w:p>
    <w:p w14:paraId="70B8FFCE" w14:textId="1AB7FDA4" w:rsidR="00BE4190" w:rsidRDefault="00EA5EC2" w:rsidP="00761CF8">
      <w:pPr>
        <w:pStyle w:val="BodyText"/>
      </w:pPr>
      <w:r w:rsidRPr="00EA5EC2">
        <w:t>In Rel-17</w:t>
      </w:r>
      <w:r w:rsidR="00362810">
        <w:t xml:space="preserve">, </w:t>
      </w:r>
      <w:r w:rsidR="00D1146B">
        <w:t xml:space="preserve">RAN2 introduced </w:t>
      </w:r>
      <w:r w:rsidR="00E47CE9">
        <w:t>two</w:t>
      </w:r>
      <w:r w:rsidR="00362810">
        <w:t xml:space="preserve"> new rule</w:t>
      </w:r>
      <w:r w:rsidR="00E47CE9">
        <w:t>s</w:t>
      </w:r>
      <w:r w:rsidR="00362810">
        <w:t xml:space="preserve"> for measurement initiation for cell reselection</w:t>
      </w:r>
      <w:r w:rsidR="007F0AAA">
        <w:t xml:space="preserve"> </w:t>
      </w:r>
      <w:r w:rsidR="00E47CE9">
        <w:t xml:space="preserve">purposes </w:t>
      </w:r>
      <w:r w:rsidR="00D1146B">
        <w:t xml:space="preserve">(or measurement relaxation) </w:t>
      </w:r>
      <w:r w:rsidR="007F0AAA">
        <w:t xml:space="preserve">for the </w:t>
      </w:r>
      <w:r w:rsidR="008A2C2E">
        <w:t xml:space="preserve">earth </w:t>
      </w:r>
      <w:r w:rsidR="00E47CE9">
        <w:t xml:space="preserve">fixed cell </w:t>
      </w:r>
      <w:r w:rsidR="007F0AAA">
        <w:t>scenario</w:t>
      </w:r>
      <w:r w:rsidR="008A2C2E">
        <w:t xml:space="preserve"> in NTN</w:t>
      </w:r>
      <w:r w:rsidR="007F0AAA">
        <w:t xml:space="preserve">. </w:t>
      </w:r>
      <w:r w:rsidR="007740F3">
        <w:t xml:space="preserve">In the </w:t>
      </w:r>
      <w:r w:rsidR="006A6237">
        <w:t>time-based</w:t>
      </w:r>
      <w:r w:rsidR="00E47CE9">
        <w:t xml:space="preserve"> solution</w:t>
      </w:r>
      <w:r w:rsidR="007740F3">
        <w:t>, UE shall start measuring neighbour cells before the current cell stops serving, i.e., the timer</w:t>
      </w:r>
      <w:r w:rsidR="006A6237">
        <w:t xml:space="preserve"> with the value of</w:t>
      </w:r>
      <w:r w:rsidR="007740F3">
        <w:t xml:space="preserve"> </w:t>
      </w:r>
      <w:r w:rsidRPr="007740F3">
        <w:rPr>
          <w:i/>
          <w:iCs/>
        </w:rPr>
        <w:t>t-Service</w:t>
      </w:r>
      <w:r w:rsidR="00D24E0B" w:rsidRPr="00D24E0B">
        <w:t>, which is provided via SI,</w:t>
      </w:r>
      <w:r w:rsidRPr="00EA5EC2">
        <w:t xml:space="preserve"> </w:t>
      </w:r>
      <w:r w:rsidR="007740F3">
        <w:t xml:space="preserve">expires. </w:t>
      </w:r>
      <w:r w:rsidR="006A6237">
        <w:t xml:space="preserve">In the location-based solution, </w:t>
      </w:r>
      <w:r w:rsidR="007118C0">
        <w:t xml:space="preserve">the UE compares its current location, obtained from </w:t>
      </w:r>
      <w:r w:rsidR="00C02FB2">
        <w:t>a</w:t>
      </w:r>
      <w:r w:rsidR="007118C0">
        <w:t xml:space="preserve"> GNSS </w:t>
      </w:r>
      <w:r w:rsidR="00C02FB2">
        <w:t>measurement</w:t>
      </w:r>
      <w:r w:rsidR="007118C0">
        <w:t xml:space="preserve">, </w:t>
      </w:r>
      <w:r w:rsidR="007D7629">
        <w:t>and</w:t>
      </w:r>
      <w:r w:rsidR="007118C0">
        <w:t xml:space="preserve"> the reference location </w:t>
      </w:r>
      <w:r w:rsidR="007D7629">
        <w:t xml:space="preserve">of the serving cell with a </w:t>
      </w:r>
      <w:r w:rsidR="00C02FB2">
        <w:t>network-controlled</w:t>
      </w:r>
      <w:r w:rsidR="007D7629">
        <w:t xml:space="preserve"> threshold. The UE shall start neighbour cell measurements if the distance to the reference location exceeds this threshold.</w:t>
      </w:r>
      <w:r w:rsidR="00906C6E">
        <w:t xml:space="preserve"> The support of both solutions is independent and optional and is signalled to the network through a UE capability indication.</w:t>
      </w:r>
    </w:p>
    <w:p w14:paraId="23BB97A2" w14:textId="6EB4E6DC" w:rsidR="006A6237" w:rsidRDefault="006A6237" w:rsidP="00761CF8">
      <w:pPr>
        <w:pStyle w:val="BodyText"/>
      </w:pPr>
    </w:p>
    <w:p w14:paraId="2D096AED" w14:textId="26C81458" w:rsidR="006A6237" w:rsidRDefault="007118C0" w:rsidP="006A6237">
      <w:pPr>
        <w:pStyle w:val="Observation"/>
      </w:pPr>
      <w:bookmarkStart w:id="11" w:name="_Toc115430890"/>
      <w:r>
        <w:t>M</w:t>
      </w:r>
      <w:r w:rsidR="006A6237">
        <w:t>easurement initiation for cell reselection include</w:t>
      </w:r>
      <w:r>
        <w:t>s</w:t>
      </w:r>
      <w:r w:rsidR="006A6237">
        <w:t xml:space="preserve"> time-based and location-based solutions for the fixed earth cell scenario.</w:t>
      </w:r>
      <w:bookmarkEnd w:id="11"/>
    </w:p>
    <w:p w14:paraId="7EB81A3D" w14:textId="6C854E07" w:rsidR="00EA5EC2" w:rsidRDefault="00EA5EC2" w:rsidP="00761CF8">
      <w:pPr>
        <w:pStyle w:val="BodyText"/>
      </w:pPr>
    </w:p>
    <w:p w14:paraId="53E4E6CF" w14:textId="1F91FA30" w:rsidR="00341B30" w:rsidRDefault="00873D32" w:rsidP="00341B30">
      <w:pPr>
        <w:pStyle w:val="BodyText"/>
        <w:rPr>
          <w:lang w:val="en-US"/>
        </w:rPr>
      </w:pPr>
      <w:r>
        <w:t>T</w:t>
      </w:r>
      <w:r w:rsidR="004F0C4C">
        <w:t xml:space="preserve">hese solutions are not </w:t>
      </w:r>
      <w:r>
        <w:t>directly</w:t>
      </w:r>
      <w:r w:rsidR="004F0C4C">
        <w:t xml:space="preserve"> applicable to the earth moving cell scenario and little progress was made during Release 17. In fact, during </w:t>
      </w:r>
      <w:r w:rsidR="00341B30">
        <w:t>RAN2</w:t>
      </w:r>
      <w:r w:rsidR="00341B30">
        <w:rPr>
          <w:lang w:val="en-US"/>
        </w:rPr>
        <w:t>#115-e, RAN2 decided to down-prioritize earth moving cells and focus on defining solutions for quasi earth fixed cells. The following was agreed:</w:t>
      </w:r>
    </w:p>
    <w:p w14:paraId="0F77731C" w14:textId="77777777" w:rsidR="00341B30" w:rsidRDefault="00341B30" w:rsidP="00341B3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Broadcast of cell stop time in SIB </w:t>
      </w:r>
      <w:r w:rsidRPr="002F069D">
        <w:t>is only applicable to quasi earth fixed cell (not to moving cell). No further work in this release to address any moving cell specific details on using the cell stop time to assist measurements or cell reselection</w:t>
      </w:r>
    </w:p>
    <w:p w14:paraId="510F52B6" w14:textId="3247581A" w:rsidR="00341B30" w:rsidRDefault="00341B30" w:rsidP="00761CF8">
      <w:pPr>
        <w:pStyle w:val="BodyText"/>
      </w:pPr>
    </w:p>
    <w:p w14:paraId="6D932A0E" w14:textId="5D3EAF5D" w:rsidR="00317D83" w:rsidRDefault="00C86CC2" w:rsidP="00220891">
      <w:pPr>
        <w:pStyle w:val="BodyText"/>
      </w:pPr>
      <w:r>
        <w:t>Regarding the solutions, the</w:t>
      </w:r>
      <w:r w:rsidR="00A50966">
        <w:t xml:space="preserve"> time-based </w:t>
      </w:r>
      <w:r>
        <w:t>approach</w:t>
      </w:r>
      <w:r w:rsidR="00B45428">
        <w:t>, as currently designed, is problematic with earth moving cells. T</w:t>
      </w:r>
      <w:r w:rsidR="00220891" w:rsidRPr="00EA5EC2">
        <w:t xml:space="preserve">he service stop time </w:t>
      </w:r>
      <w:r w:rsidR="00317D83">
        <w:t xml:space="preserve">is not unique for all </w:t>
      </w:r>
      <w:r w:rsidR="00A50966">
        <w:t>UEs in the cell</w:t>
      </w:r>
      <w:r w:rsidR="001602F8">
        <w:t xml:space="preserve"> </w:t>
      </w:r>
      <w:r w:rsidR="00317D83">
        <w:t xml:space="preserve">as </w:t>
      </w:r>
      <w:r w:rsidR="001602F8">
        <w:t>the coverage of the satellite moves along Earth’s surface</w:t>
      </w:r>
      <w:r w:rsidR="00A50966">
        <w:t>.</w:t>
      </w:r>
      <w:r w:rsidR="0044194D">
        <w:t xml:space="preserve"> </w:t>
      </w:r>
      <w:r w:rsidR="00A41F72">
        <w:t xml:space="preserve">Thus, </w:t>
      </w:r>
      <w:r w:rsidR="00AD7AC2">
        <w:t>dependent on the UE location within the serving cell,</w:t>
      </w:r>
      <w:r w:rsidR="00A41F72">
        <w:t xml:space="preserve"> UEs will experience different stop serving times. Although </w:t>
      </w:r>
      <w:r w:rsidR="0044194D">
        <w:t>the total service time</w:t>
      </w:r>
      <w:r w:rsidR="00B62160">
        <w:t xml:space="preserve"> is equal</w:t>
      </w:r>
      <w:r w:rsidR="00A41F72">
        <w:t xml:space="preserve"> for all UEs</w:t>
      </w:r>
      <w:r w:rsidR="00EE5C40">
        <w:t xml:space="preserve"> in the cell </w:t>
      </w:r>
      <w:r w:rsidR="00A41F72">
        <w:t xml:space="preserve">(it depends on </w:t>
      </w:r>
      <w:r w:rsidR="00B62160">
        <w:t xml:space="preserve">the satellite </w:t>
      </w:r>
      <w:r w:rsidR="00A41F72">
        <w:t>characteristics)</w:t>
      </w:r>
      <w:r w:rsidR="00EE5C40">
        <w:t xml:space="preserve">, it is not possible </w:t>
      </w:r>
      <w:r w:rsidR="00B62160">
        <w:t xml:space="preserve">to establish a </w:t>
      </w:r>
      <w:r w:rsidR="00EE5C40">
        <w:t xml:space="preserve">single </w:t>
      </w:r>
      <w:r w:rsidR="00B62160">
        <w:t xml:space="preserve">reference timestamp </w:t>
      </w:r>
      <w:r w:rsidR="00EE5C40">
        <w:t xml:space="preserve">that commands </w:t>
      </w:r>
      <w:r w:rsidR="00B62160">
        <w:t>when UE independent</w:t>
      </w:r>
      <w:r w:rsidR="00EE5C40">
        <w:t xml:space="preserve"> </w:t>
      </w:r>
      <w:r w:rsidR="00B62160">
        <w:t>timers should start.</w:t>
      </w:r>
      <w:r w:rsidR="00BD1A35">
        <w:t xml:space="preserve"> </w:t>
      </w:r>
      <w:r w:rsidR="006137BD">
        <w:t xml:space="preserve">Nonetheless, a time reference could still be useful </w:t>
      </w:r>
      <w:r w:rsidR="00160E55">
        <w:t>when dealing with feeder link switches that are expected to happen in a deterministic manner.</w:t>
      </w:r>
    </w:p>
    <w:p w14:paraId="3ABAF4AA" w14:textId="189423C7" w:rsidR="00317D83" w:rsidRDefault="00317D83" w:rsidP="00220891">
      <w:pPr>
        <w:pStyle w:val="BodyText"/>
      </w:pPr>
    </w:p>
    <w:p w14:paraId="062D4B75" w14:textId="308DE20C" w:rsidR="0008469A" w:rsidRDefault="007B21C5" w:rsidP="0008469A">
      <w:pPr>
        <w:pStyle w:val="Observation"/>
      </w:pPr>
      <w:bookmarkStart w:id="12" w:name="_Toc115430891"/>
      <w:r>
        <w:t>A single s</w:t>
      </w:r>
      <w:r w:rsidR="0008469A">
        <w:t xml:space="preserve">ervice stop time </w:t>
      </w:r>
      <w:r>
        <w:t>cannot be provided fo</w:t>
      </w:r>
      <w:r w:rsidR="0008469A">
        <w:t xml:space="preserve">r all UEs in </w:t>
      </w:r>
      <w:r>
        <w:t xml:space="preserve">earth moving </w:t>
      </w:r>
      <w:r w:rsidR="0008469A">
        <w:t>cell</w:t>
      </w:r>
      <w:r w:rsidR="00C10965">
        <w:t>, except for the feeder link switch</w:t>
      </w:r>
      <w:r w:rsidR="00400F40">
        <w:t xml:space="preserve"> scenario</w:t>
      </w:r>
      <w:r w:rsidR="0008469A">
        <w:t>.</w:t>
      </w:r>
      <w:bookmarkEnd w:id="12"/>
    </w:p>
    <w:p w14:paraId="3F3F65BB" w14:textId="7D5705BA" w:rsidR="0008469A" w:rsidRDefault="0008469A" w:rsidP="00220891">
      <w:pPr>
        <w:pStyle w:val="BodyText"/>
      </w:pPr>
    </w:p>
    <w:p w14:paraId="653823E2" w14:textId="3FEA8DF0" w:rsidR="00432ADD" w:rsidRDefault="0073391D" w:rsidP="008834FB">
      <w:pPr>
        <w:pStyle w:val="Proposal"/>
      </w:pPr>
      <w:bookmarkStart w:id="13" w:name="_Toc115430894"/>
      <w:r>
        <w:t>Introduce a s</w:t>
      </w:r>
      <w:r w:rsidR="005E35FC">
        <w:t>ervice stop time parameter (</w:t>
      </w:r>
      <w:r>
        <w:t xml:space="preserve">similar to </w:t>
      </w:r>
      <w:r w:rsidR="005E35FC">
        <w:t>t-service</w:t>
      </w:r>
      <w:r>
        <w:t>)</w:t>
      </w:r>
      <w:r w:rsidR="005E35FC">
        <w:t xml:space="preserve"> </w:t>
      </w:r>
      <w:r w:rsidR="008834FB">
        <w:t xml:space="preserve">to initiate measurements before </w:t>
      </w:r>
      <w:r w:rsidR="00803D63">
        <w:t xml:space="preserve">cell replacement due to </w:t>
      </w:r>
      <w:r w:rsidR="005E35FC">
        <w:t>feeder link switch case.</w:t>
      </w:r>
      <w:bookmarkEnd w:id="13"/>
    </w:p>
    <w:p w14:paraId="045DFAEA" w14:textId="77777777" w:rsidR="00432ADD" w:rsidRDefault="00432ADD" w:rsidP="00220891">
      <w:pPr>
        <w:pStyle w:val="BodyText"/>
      </w:pPr>
    </w:p>
    <w:p w14:paraId="3B72A6C1" w14:textId="3F676377" w:rsidR="00684490" w:rsidRDefault="00684490" w:rsidP="00997A78">
      <w:pPr>
        <w:pStyle w:val="BodyText"/>
        <w:tabs>
          <w:tab w:val="left" w:pos="832"/>
        </w:tabs>
      </w:pPr>
      <w:r>
        <w:t xml:space="preserve">In case of </w:t>
      </w:r>
      <w:r w:rsidR="00997A78">
        <w:t xml:space="preserve">the </w:t>
      </w:r>
      <w:r>
        <w:t xml:space="preserve">location-based solution, </w:t>
      </w:r>
      <w:r w:rsidR="006160BF">
        <w:t xml:space="preserve">the </w:t>
      </w:r>
      <w:r w:rsidR="00997A78">
        <w:t xml:space="preserve">cell movement </w:t>
      </w:r>
      <w:r w:rsidR="006160BF">
        <w:t xml:space="preserve">makes </w:t>
      </w:r>
      <w:r w:rsidR="00AF48E6">
        <w:t xml:space="preserve">it </w:t>
      </w:r>
      <w:r w:rsidR="006160BF">
        <w:t xml:space="preserve">impossible to provide a fixed reference location. </w:t>
      </w:r>
      <w:r w:rsidR="006A1778">
        <w:t>Nonetheless</w:t>
      </w:r>
      <w:r w:rsidR="00CD31E7">
        <w:t xml:space="preserve">, </w:t>
      </w:r>
      <w:r w:rsidR="001447B5">
        <w:t xml:space="preserve">the network could </w:t>
      </w:r>
      <w:r w:rsidR="00CD31E7">
        <w:t xml:space="preserve">provide </w:t>
      </w:r>
      <w:r w:rsidR="006A1778">
        <w:t xml:space="preserve">a floating reference location. This is </w:t>
      </w:r>
      <w:r w:rsidR="00CD31E7">
        <w:t>the cell’s reference location at a certain epoch</w:t>
      </w:r>
      <w:r w:rsidR="001447B5">
        <w:t xml:space="preserve"> </w:t>
      </w:r>
      <w:r w:rsidR="00AF48E6">
        <w:t xml:space="preserve">time </w:t>
      </w:r>
      <w:r w:rsidR="001447B5">
        <w:t>with the idea that the UE, knowing the satellite direction</w:t>
      </w:r>
      <w:r w:rsidR="006A1778">
        <w:t xml:space="preserve"> and velocity,</w:t>
      </w:r>
      <w:r w:rsidR="001447B5">
        <w:t xml:space="preserve"> propagate</w:t>
      </w:r>
      <w:r w:rsidR="006A1778">
        <w:t>s</w:t>
      </w:r>
      <w:r w:rsidR="001447B5">
        <w:t xml:space="preserve"> this position </w:t>
      </w:r>
      <w:r w:rsidR="006A1778">
        <w:t xml:space="preserve">on Earth </w:t>
      </w:r>
      <w:r w:rsidR="001447B5">
        <w:t xml:space="preserve">to its current time. </w:t>
      </w:r>
      <w:r w:rsidR="00870C16">
        <w:t xml:space="preserve">Therefore, the UE can easily calculate </w:t>
      </w:r>
      <w:r w:rsidR="001A6661">
        <w:t xml:space="preserve">at every moment where is the cell’s reference location and compare </w:t>
      </w:r>
      <w:r w:rsidR="00442B41">
        <w:t>the distance</w:t>
      </w:r>
      <w:r w:rsidR="001A6661">
        <w:t xml:space="preserve"> to the broadcast threshold. </w:t>
      </w:r>
      <w:r w:rsidR="00870C16">
        <w:t>In addition, i</w:t>
      </w:r>
      <w:r w:rsidR="00356EB5">
        <w:t xml:space="preserve">f the </w:t>
      </w:r>
      <w:r w:rsidR="00AF48E6">
        <w:t>serving cell’s</w:t>
      </w:r>
      <w:r w:rsidR="00356EB5">
        <w:t xml:space="preserve"> </w:t>
      </w:r>
      <w:r w:rsidR="00442B41">
        <w:t xml:space="preserve">reference location </w:t>
      </w:r>
      <w:r w:rsidR="00356EB5">
        <w:t xml:space="preserve">epoch </w:t>
      </w:r>
      <w:r w:rsidR="00AF48E6">
        <w:t xml:space="preserve">time </w:t>
      </w:r>
      <w:r w:rsidR="00356EB5">
        <w:t>coincides with the satellite’s ephemeris epoch</w:t>
      </w:r>
      <w:r w:rsidR="00AF48E6">
        <w:t xml:space="preserve"> time</w:t>
      </w:r>
      <w:r w:rsidR="00356EB5">
        <w:t xml:space="preserve">, there would be little impact to the specifications because </w:t>
      </w:r>
      <w:r w:rsidR="00706C3F">
        <w:t xml:space="preserve">the reference location and distance threshold are already transmitted in SIB19. </w:t>
      </w:r>
      <w:r w:rsidR="009C5D3B">
        <w:t xml:space="preserve">A similar approach </w:t>
      </w:r>
      <w:r w:rsidR="00997A78">
        <w:t xml:space="preserve">has been </w:t>
      </w:r>
      <w:r w:rsidR="00B062D4">
        <w:t xml:space="preserve">partly </w:t>
      </w:r>
      <w:r w:rsidR="00997A78">
        <w:t>proposed in [</w:t>
      </w:r>
      <w:r w:rsidR="00A40ED7">
        <w:t>3</w:t>
      </w:r>
      <w:r w:rsidR="00997A78">
        <w:t>] and [</w:t>
      </w:r>
      <w:r w:rsidR="00A40ED7">
        <w:t>4</w:t>
      </w:r>
      <w:r w:rsidR="00997A78">
        <w:t>].</w:t>
      </w:r>
    </w:p>
    <w:p w14:paraId="7D7A7708" w14:textId="77777777" w:rsidR="00220891" w:rsidRDefault="00220891" w:rsidP="00761CF8">
      <w:pPr>
        <w:pStyle w:val="BodyText"/>
      </w:pPr>
    </w:p>
    <w:p w14:paraId="52E95366" w14:textId="208596B2" w:rsidR="00BE4190" w:rsidRDefault="006E3852" w:rsidP="00034F71">
      <w:pPr>
        <w:pStyle w:val="Proposal"/>
      </w:pPr>
      <w:bookmarkStart w:id="14" w:name="_Toc115430895"/>
      <w:r>
        <w:t>Network broadcast</w:t>
      </w:r>
      <w:r w:rsidR="00B062D4">
        <w:t>s</w:t>
      </w:r>
      <w:r>
        <w:t xml:space="preserve"> a</w:t>
      </w:r>
      <w:r w:rsidR="00BE4190">
        <w:t>ssistance infor</w:t>
      </w:r>
      <w:r>
        <w:t>m</w:t>
      </w:r>
      <w:r w:rsidR="00BE4190">
        <w:t>ation for measurement initiation in Earth moving cells.</w:t>
      </w:r>
      <w:bookmarkEnd w:id="14"/>
    </w:p>
    <w:p w14:paraId="3D4A4EDA" w14:textId="490F331E" w:rsidR="00790F5C" w:rsidRDefault="00790F5C" w:rsidP="00034F71">
      <w:pPr>
        <w:pStyle w:val="Proposal"/>
      </w:pPr>
      <w:bookmarkStart w:id="15" w:name="_Toc115430896"/>
      <w:r>
        <w:t>Th</w:t>
      </w:r>
      <w:r w:rsidR="00B062D4">
        <w:t>is</w:t>
      </w:r>
      <w:r>
        <w:t xml:space="preserve"> assistance information includes reference location at an epoch</w:t>
      </w:r>
      <w:r w:rsidR="00C10BB0">
        <w:t xml:space="preserve"> time</w:t>
      </w:r>
      <w:r>
        <w:t>, satellite ephemeris, and distance threshold.</w:t>
      </w:r>
      <w:bookmarkEnd w:id="15"/>
    </w:p>
    <w:p w14:paraId="6A0AA71A" w14:textId="4D884190" w:rsidR="00034F71" w:rsidRDefault="00034F71" w:rsidP="00034F71"/>
    <w:p w14:paraId="7F481869" w14:textId="210F9844" w:rsidR="00E203C0" w:rsidRDefault="00E203C0" w:rsidP="00E203C0">
      <w:pPr>
        <w:pStyle w:val="Heading2"/>
      </w:pPr>
      <w:r>
        <w:t>2.4</w:t>
      </w:r>
      <w:r>
        <w:tab/>
        <w:t>Cell reselection enhancements for TN-NTN mobility</w:t>
      </w:r>
    </w:p>
    <w:p w14:paraId="7AEC5C88" w14:textId="77777777" w:rsidR="00AF2006" w:rsidRDefault="003E459D" w:rsidP="00034F71">
      <w:pPr>
        <w:rPr>
          <w:rFonts w:ascii="Arial" w:hAnsi="Arial" w:cs="Arial"/>
        </w:rPr>
      </w:pPr>
      <w:r w:rsidRPr="00FF7D76">
        <w:rPr>
          <w:rFonts w:ascii="Arial" w:hAnsi="Arial" w:cs="Arial"/>
        </w:rPr>
        <w:t xml:space="preserve">The coverage area of </w:t>
      </w:r>
      <w:r w:rsidR="005D2A57" w:rsidRPr="00FF7D76">
        <w:rPr>
          <w:rFonts w:ascii="Arial" w:hAnsi="Arial" w:cs="Arial"/>
        </w:rPr>
        <w:t xml:space="preserve">NTN cells </w:t>
      </w:r>
      <w:r w:rsidR="004110E4" w:rsidRPr="00FF7D76">
        <w:rPr>
          <w:rFonts w:ascii="Arial" w:hAnsi="Arial" w:cs="Arial"/>
        </w:rPr>
        <w:t>is expected to be large in comparison to TN, especially in case of GSO.</w:t>
      </w:r>
      <w:r w:rsidR="00A06023" w:rsidRPr="00FF7D76">
        <w:rPr>
          <w:rFonts w:ascii="Arial" w:hAnsi="Arial" w:cs="Arial"/>
        </w:rPr>
        <w:t xml:space="preserve"> </w:t>
      </w:r>
      <w:r w:rsidR="00A31D67" w:rsidRPr="00FF7D76">
        <w:rPr>
          <w:rFonts w:ascii="Arial" w:hAnsi="Arial" w:cs="Arial"/>
        </w:rPr>
        <w:t>In Release 17, it was agreed to transmit n</w:t>
      </w:r>
      <w:r w:rsidR="004B5279" w:rsidRPr="00FF7D76">
        <w:rPr>
          <w:rFonts w:ascii="Arial" w:hAnsi="Arial" w:cs="Arial"/>
        </w:rPr>
        <w:t>eighbour cell information in System Information</w:t>
      </w:r>
      <w:r w:rsidR="00A31D67" w:rsidRPr="00FF7D76">
        <w:rPr>
          <w:rFonts w:ascii="Arial" w:hAnsi="Arial" w:cs="Arial"/>
        </w:rPr>
        <w:t xml:space="preserve"> (SIB19)</w:t>
      </w:r>
      <w:r w:rsidR="004B5279" w:rsidRPr="00FF7D76">
        <w:rPr>
          <w:rFonts w:ascii="Arial" w:hAnsi="Arial" w:cs="Arial"/>
        </w:rPr>
        <w:t xml:space="preserve"> to assist</w:t>
      </w:r>
      <w:r w:rsidR="00F7569B" w:rsidRPr="00FF7D76">
        <w:rPr>
          <w:rFonts w:ascii="Arial" w:hAnsi="Arial" w:cs="Arial"/>
        </w:rPr>
        <w:t xml:space="preserve"> with measurements and perform </w:t>
      </w:r>
      <w:r w:rsidR="00865CE3" w:rsidRPr="00FF7D76">
        <w:rPr>
          <w:rFonts w:ascii="Arial" w:hAnsi="Arial" w:cs="Arial"/>
        </w:rPr>
        <w:t>id</w:t>
      </w:r>
      <w:r w:rsidR="00F7569B" w:rsidRPr="00FF7D76">
        <w:rPr>
          <w:rFonts w:ascii="Arial" w:hAnsi="Arial" w:cs="Arial"/>
        </w:rPr>
        <w:t>le mobility procedures</w:t>
      </w:r>
      <w:r w:rsidR="004B5279" w:rsidRPr="00FF7D76">
        <w:rPr>
          <w:rFonts w:ascii="Arial" w:hAnsi="Arial" w:cs="Arial"/>
        </w:rPr>
        <w:t xml:space="preserve">. </w:t>
      </w:r>
      <w:r w:rsidR="00FF7D76" w:rsidRPr="00FF7D76">
        <w:rPr>
          <w:rFonts w:ascii="Arial" w:hAnsi="Arial" w:cs="Arial"/>
        </w:rPr>
        <w:t>Taking into account NTN characteristics, new triggers were adopted to limit measurements to the most relevant occasions</w:t>
      </w:r>
      <w:r w:rsidR="00153D92">
        <w:rPr>
          <w:rFonts w:ascii="Arial" w:hAnsi="Arial" w:cs="Arial"/>
        </w:rPr>
        <w:t xml:space="preserve"> as described in the previous section</w:t>
      </w:r>
      <w:r w:rsidR="00FF7D76" w:rsidRPr="00FF7D76">
        <w:rPr>
          <w:rFonts w:ascii="Arial" w:hAnsi="Arial" w:cs="Arial"/>
        </w:rPr>
        <w:t>.</w:t>
      </w:r>
    </w:p>
    <w:p w14:paraId="07F05B4A" w14:textId="0D9CDEED" w:rsidR="00E203C0" w:rsidRPr="00FF7D76" w:rsidRDefault="00EE30F5" w:rsidP="00034F71">
      <w:pPr>
        <w:rPr>
          <w:rFonts w:ascii="Arial" w:hAnsi="Arial" w:cs="Arial"/>
        </w:rPr>
      </w:pPr>
      <w:r w:rsidRPr="00FF7D76">
        <w:rPr>
          <w:rFonts w:ascii="Arial" w:hAnsi="Arial" w:cs="Arial"/>
        </w:rPr>
        <w:t>A common understanding is that m</w:t>
      </w:r>
      <w:r w:rsidR="004B5279" w:rsidRPr="00FF7D76">
        <w:rPr>
          <w:rFonts w:ascii="Arial" w:hAnsi="Arial" w:cs="Arial"/>
        </w:rPr>
        <w:t>easurements on TN frequencies are prioritized over NTN</w:t>
      </w:r>
      <w:r w:rsidR="00194407" w:rsidRPr="00FF7D76">
        <w:rPr>
          <w:rFonts w:ascii="Arial" w:hAnsi="Arial" w:cs="Arial"/>
        </w:rPr>
        <w:t xml:space="preserve"> </w:t>
      </w:r>
      <w:r w:rsidR="005D3F56">
        <w:rPr>
          <w:rFonts w:ascii="Arial" w:hAnsi="Arial" w:cs="Arial"/>
        </w:rPr>
        <w:t xml:space="preserve">which </w:t>
      </w:r>
      <w:r w:rsidR="00194407" w:rsidRPr="00FF7D76">
        <w:rPr>
          <w:rFonts w:ascii="Arial" w:hAnsi="Arial" w:cs="Arial"/>
        </w:rPr>
        <w:t>is configurable by the network</w:t>
      </w:r>
      <w:r w:rsidR="004B5279" w:rsidRPr="00FF7D76">
        <w:rPr>
          <w:rFonts w:ascii="Arial" w:hAnsi="Arial" w:cs="Arial"/>
        </w:rPr>
        <w:t xml:space="preserve">. </w:t>
      </w:r>
      <w:r w:rsidR="001F5360">
        <w:rPr>
          <w:rFonts w:ascii="Arial" w:hAnsi="Arial" w:cs="Arial"/>
        </w:rPr>
        <w:t xml:space="preserve">Therefore, in Release 18, RAN2 </w:t>
      </w:r>
      <w:r w:rsidR="005D3F56">
        <w:rPr>
          <w:rFonts w:ascii="Arial" w:hAnsi="Arial" w:cs="Arial"/>
        </w:rPr>
        <w:t>is set to</w:t>
      </w:r>
      <w:r w:rsidR="008C6AA0">
        <w:rPr>
          <w:rFonts w:ascii="Arial" w:hAnsi="Arial" w:cs="Arial"/>
        </w:rPr>
        <w:t xml:space="preserve"> work on methods to optimize measurements and avoid unnecessary power consumption. </w:t>
      </w:r>
      <w:r w:rsidR="00E203C0" w:rsidRPr="00FF7D76">
        <w:rPr>
          <w:rFonts w:ascii="Arial" w:hAnsi="Arial" w:cs="Arial"/>
        </w:rPr>
        <w:t xml:space="preserve">In RAN2#119-e, </w:t>
      </w:r>
      <w:r w:rsidR="00BE6012" w:rsidRPr="00FF7D76">
        <w:rPr>
          <w:rFonts w:ascii="Arial" w:hAnsi="Arial" w:cs="Arial"/>
        </w:rPr>
        <w:t xml:space="preserve">this topic was briefly discussed, and </w:t>
      </w:r>
      <w:r w:rsidR="00E203C0" w:rsidRPr="00FF7D76">
        <w:rPr>
          <w:rFonts w:ascii="Arial" w:hAnsi="Arial" w:cs="Arial"/>
        </w:rPr>
        <w:t>the following was agreed.</w:t>
      </w:r>
    </w:p>
    <w:p w14:paraId="1C383A61" w14:textId="77777777" w:rsidR="00E203C0" w:rsidRPr="00FF7D76" w:rsidRDefault="00E203C0" w:rsidP="00E203C0">
      <w:pPr>
        <w:pStyle w:val="ListParagraph"/>
        <w:numPr>
          <w:ilvl w:val="0"/>
          <w:numId w:val="32"/>
        </w:numPr>
        <w:overflowPunct/>
        <w:autoSpaceDE/>
        <w:autoSpaceDN/>
        <w:adjustRightInd/>
        <w:textAlignment w:val="auto"/>
        <w:rPr>
          <w:rFonts w:ascii="Arial" w:hAnsi="Arial" w:cs="Arial"/>
          <w:sz w:val="20"/>
          <w:szCs w:val="20"/>
        </w:rPr>
      </w:pPr>
      <w:r w:rsidRPr="00FF7D76">
        <w:rPr>
          <w:rFonts w:ascii="Arial" w:hAnsi="Arial" w:cs="Arial"/>
          <w:sz w:val="20"/>
          <w:szCs w:val="20"/>
        </w:rPr>
        <w:t xml:space="preserve">RAN2 to work on a solution so that measurements for TN’s coverage are performed only when relevant (FFS what relevant means). </w:t>
      </w:r>
    </w:p>
    <w:p w14:paraId="342459F4" w14:textId="77777777" w:rsidR="00E203C0" w:rsidRPr="00FF7D76" w:rsidRDefault="00E203C0" w:rsidP="00E203C0">
      <w:pPr>
        <w:pStyle w:val="ListParagraph"/>
        <w:numPr>
          <w:ilvl w:val="0"/>
          <w:numId w:val="32"/>
        </w:numPr>
        <w:overflowPunct/>
        <w:autoSpaceDE/>
        <w:autoSpaceDN/>
        <w:adjustRightInd/>
        <w:textAlignment w:val="auto"/>
        <w:rPr>
          <w:rFonts w:ascii="Arial" w:hAnsi="Arial" w:cs="Arial"/>
          <w:sz w:val="20"/>
          <w:szCs w:val="20"/>
        </w:rPr>
      </w:pPr>
      <w:r w:rsidRPr="00FF7D76">
        <w:rPr>
          <w:rFonts w:ascii="Arial" w:hAnsi="Arial" w:cs="Arial"/>
          <w:sz w:val="20"/>
          <w:szCs w:val="20"/>
        </w:rPr>
        <w:t>RAN2 to work on assistance information that can be provided to NTN UEs for the above.</w:t>
      </w:r>
    </w:p>
    <w:p w14:paraId="67B169E4" w14:textId="5DB90A87" w:rsidR="00E203C0" w:rsidRPr="00FF7D76" w:rsidRDefault="00E203C0" w:rsidP="00034F71">
      <w:pPr>
        <w:rPr>
          <w:rFonts w:ascii="Arial" w:hAnsi="Arial" w:cs="Arial"/>
        </w:rPr>
      </w:pPr>
    </w:p>
    <w:p w14:paraId="1ED5C9EB" w14:textId="7715A43C" w:rsidR="00E203C0" w:rsidRDefault="00786948" w:rsidP="00034F71">
      <w:pPr>
        <w:rPr>
          <w:rFonts w:ascii="Arial" w:hAnsi="Arial" w:cs="Arial"/>
        </w:rPr>
      </w:pPr>
      <w:r>
        <w:rPr>
          <w:rFonts w:ascii="Arial" w:hAnsi="Arial" w:cs="Arial"/>
        </w:rPr>
        <w:t xml:space="preserve">Regarding the </w:t>
      </w:r>
      <w:r w:rsidR="00E203C0" w:rsidRPr="00FF7D76">
        <w:rPr>
          <w:rFonts w:ascii="Arial" w:hAnsi="Arial" w:cs="Arial"/>
        </w:rPr>
        <w:t>FFS</w:t>
      </w:r>
      <w:r w:rsidR="0014773D">
        <w:rPr>
          <w:rFonts w:ascii="Arial" w:hAnsi="Arial" w:cs="Arial"/>
        </w:rPr>
        <w:t xml:space="preserve"> in the first agreement</w:t>
      </w:r>
      <w:r w:rsidR="005D3F56">
        <w:rPr>
          <w:rFonts w:ascii="Arial" w:hAnsi="Arial" w:cs="Arial"/>
        </w:rPr>
        <w:t xml:space="preserve">, </w:t>
      </w:r>
      <w:r>
        <w:rPr>
          <w:rFonts w:ascii="Arial" w:hAnsi="Arial" w:cs="Arial"/>
        </w:rPr>
        <w:t>a</w:t>
      </w:r>
      <w:r w:rsidRPr="00FF7D76">
        <w:rPr>
          <w:rFonts w:ascii="Arial" w:hAnsi="Arial" w:cs="Arial"/>
        </w:rPr>
        <w:t xml:space="preserve">s depicted in </w:t>
      </w:r>
      <w:r>
        <w:rPr>
          <w:rFonts w:ascii="Arial" w:hAnsi="Arial" w:cs="Arial"/>
        </w:rPr>
        <w:t>the</w:t>
      </w:r>
      <w:r w:rsidRPr="00FF7D76">
        <w:rPr>
          <w:rFonts w:ascii="Arial" w:hAnsi="Arial" w:cs="Arial"/>
        </w:rPr>
        <w:t xml:space="preserve"> figure</w:t>
      </w:r>
      <w:r>
        <w:rPr>
          <w:rFonts w:ascii="Arial" w:hAnsi="Arial" w:cs="Arial"/>
        </w:rPr>
        <w:t xml:space="preserve"> below</w:t>
      </w:r>
      <w:r w:rsidRPr="00FF7D76">
        <w:rPr>
          <w:rFonts w:ascii="Arial" w:hAnsi="Arial" w:cs="Arial"/>
        </w:rPr>
        <w:t xml:space="preserve">, </w:t>
      </w:r>
      <w:r w:rsidR="009B27E4">
        <w:rPr>
          <w:rFonts w:ascii="Arial" w:hAnsi="Arial" w:cs="Arial"/>
        </w:rPr>
        <w:t xml:space="preserve">several TN cells might </w:t>
      </w:r>
      <w:r w:rsidR="00D50047">
        <w:rPr>
          <w:rFonts w:ascii="Arial" w:hAnsi="Arial" w:cs="Arial"/>
        </w:rPr>
        <w:t xml:space="preserve">exist within </w:t>
      </w:r>
      <w:r w:rsidR="00CF71EA">
        <w:rPr>
          <w:rFonts w:ascii="Arial" w:hAnsi="Arial" w:cs="Arial"/>
        </w:rPr>
        <w:t>an</w:t>
      </w:r>
      <w:r w:rsidR="004B5396">
        <w:rPr>
          <w:rFonts w:ascii="Arial" w:hAnsi="Arial" w:cs="Arial"/>
        </w:rPr>
        <w:t xml:space="preserve"> NTN coverage area</w:t>
      </w:r>
      <w:r w:rsidR="00D50047">
        <w:rPr>
          <w:rFonts w:ascii="Arial" w:hAnsi="Arial" w:cs="Arial"/>
        </w:rPr>
        <w:t xml:space="preserve">. </w:t>
      </w:r>
      <w:r w:rsidR="003E7C5D">
        <w:rPr>
          <w:rFonts w:ascii="Arial" w:hAnsi="Arial" w:cs="Arial"/>
        </w:rPr>
        <w:t xml:space="preserve">Given that System Information is broadcast cell wide, </w:t>
      </w:r>
      <w:r w:rsidR="000C18BF">
        <w:rPr>
          <w:rFonts w:ascii="Arial" w:hAnsi="Arial" w:cs="Arial"/>
        </w:rPr>
        <w:t xml:space="preserve">if the network provides information </w:t>
      </w:r>
      <w:r w:rsidR="00B9658D">
        <w:rPr>
          <w:rFonts w:ascii="Arial" w:hAnsi="Arial" w:cs="Arial"/>
        </w:rPr>
        <w:t xml:space="preserve">for TN cells </w:t>
      </w:r>
      <w:r w:rsidR="000C18BF">
        <w:rPr>
          <w:rFonts w:ascii="Arial" w:hAnsi="Arial" w:cs="Arial"/>
        </w:rPr>
        <w:t>without any geographic</w:t>
      </w:r>
      <w:r w:rsidR="00B9658D">
        <w:rPr>
          <w:rFonts w:ascii="Arial" w:hAnsi="Arial" w:cs="Arial"/>
        </w:rPr>
        <w:t xml:space="preserve"> indication, UEs may unnecessarily measure at those frequencies even if they located far from the </w:t>
      </w:r>
      <w:r w:rsidR="00543732">
        <w:rPr>
          <w:rFonts w:ascii="Arial" w:hAnsi="Arial" w:cs="Arial"/>
        </w:rPr>
        <w:t xml:space="preserve">TN coverage and, thus, </w:t>
      </w:r>
      <w:r w:rsidR="00E203C0" w:rsidRPr="00FF7D76">
        <w:rPr>
          <w:rFonts w:ascii="Arial" w:hAnsi="Arial" w:cs="Arial"/>
        </w:rPr>
        <w:t>waste power.</w:t>
      </w:r>
      <w:r w:rsidR="00256F69">
        <w:rPr>
          <w:rFonts w:ascii="Arial" w:hAnsi="Arial" w:cs="Arial"/>
        </w:rPr>
        <w:t xml:space="preserve"> Therefore, </w:t>
      </w:r>
      <w:r w:rsidR="00D872E6">
        <w:rPr>
          <w:rFonts w:ascii="Arial" w:hAnsi="Arial" w:cs="Arial"/>
        </w:rPr>
        <w:t xml:space="preserve">the </w:t>
      </w:r>
      <w:r w:rsidR="00D42DD7">
        <w:rPr>
          <w:rFonts w:ascii="Arial" w:hAnsi="Arial" w:cs="Arial"/>
        </w:rPr>
        <w:t xml:space="preserve">meaning of </w:t>
      </w:r>
      <w:r w:rsidR="00D872E6">
        <w:rPr>
          <w:rFonts w:ascii="Arial" w:hAnsi="Arial" w:cs="Arial"/>
        </w:rPr>
        <w:t xml:space="preserve">“relevant” </w:t>
      </w:r>
      <w:r w:rsidR="00D42DD7">
        <w:rPr>
          <w:rFonts w:ascii="Arial" w:hAnsi="Arial" w:cs="Arial"/>
        </w:rPr>
        <w:t xml:space="preserve">in the first agreement </w:t>
      </w:r>
      <w:r w:rsidR="00D872E6">
        <w:rPr>
          <w:rFonts w:ascii="Arial" w:hAnsi="Arial" w:cs="Arial"/>
        </w:rPr>
        <w:t>should refer to a geographic indication.</w:t>
      </w:r>
    </w:p>
    <w:p w14:paraId="2A1026EC" w14:textId="77777777" w:rsidR="00D872E6" w:rsidRDefault="00D872E6" w:rsidP="00034F71">
      <w:pPr>
        <w:rPr>
          <w:rFonts w:ascii="Arial" w:hAnsi="Arial" w:cs="Arial"/>
        </w:rPr>
      </w:pPr>
    </w:p>
    <w:p w14:paraId="6B56FD15" w14:textId="0CEE6FE6" w:rsidR="00D872E6" w:rsidRDefault="002D169B" w:rsidP="002D169B">
      <w:pPr>
        <w:pStyle w:val="Proposal"/>
      </w:pPr>
      <w:bookmarkStart w:id="16" w:name="_Toc115430897"/>
      <w:r>
        <w:t>The network provides a geographic indication of TN cells to limit idle mode measurements.</w:t>
      </w:r>
      <w:bookmarkEnd w:id="16"/>
    </w:p>
    <w:p w14:paraId="16D1BD9F" w14:textId="77777777" w:rsidR="00C727CA" w:rsidRDefault="00C727CA" w:rsidP="00034F71">
      <w:pPr>
        <w:rPr>
          <w:rFonts w:ascii="Arial" w:hAnsi="Arial" w:cs="Arial"/>
        </w:rPr>
      </w:pPr>
    </w:p>
    <w:p w14:paraId="286213EE" w14:textId="49327FF2" w:rsidR="00C727CA" w:rsidRDefault="00C727CA" w:rsidP="00E97AA7">
      <w:pPr>
        <w:jc w:val="center"/>
        <w:rPr>
          <w:rFonts w:ascii="Arial" w:hAnsi="Arial" w:cs="Arial"/>
        </w:rPr>
      </w:pPr>
      <w:r>
        <w:rPr>
          <w:rFonts w:ascii="Arial" w:hAnsi="Arial" w:cs="Arial"/>
          <w:noProof/>
        </w:rPr>
        <w:drawing>
          <wp:inline distT="0" distB="0" distL="0" distR="0" wp14:anchorId="26B64476" wp14:editId="2B7AE5E6">
            <wp:extent cx="2271489" cy="2377767"/>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91035" cy="2398228"/>
                    </a:xfrm>
                    <a:prstGeom prst="rect">
                      <a:avLst/>
                    </a:prstGeom>
                    <a:noFill/>
                  </pic:spPr>
                </pic:pic>
              </a:graphicData>
            </a:graphic>
          </wp:inline>
        </w:drawing>
      </w:r>
    </w:p>
    <w:p w14:paraId="39CA5AE9" w14:textId="59EEEBE0" w:rsidR="00C727CA" w:rsidRPr="00FF7D76" w:rsidRDefault="00C727CA" w:rsidP="00E97AA7">
      <w:pPr>
        <w:jc w:val="center"/>
        <w:rPr>
          <w:rFonts w:ascii="Arial" w:hAnsi="Arial" w:cs="Arial"/>
        </w:rPr>
      </w:pPr>
      <w:r>
        <w:rPr>
          <w:rFonts w:ascii="Arial" w:hAnsi="Arial" w:cs="Arial"/>
        </w:rPr>
        <w:t xml:space="preserve">Figure 1. </w:t>
      </w:r>
      <w:r w:rsidR="00E97AA7">
        <w:rPr>
          <w:rFonts w:ascii="Arial" w:hAnsi="Arial" w:cs="Arial"/>
        </w:rPr>
        <w:t>Illustration of several TN cells within an NTN cell.</w:t>
      </w:r>
    </w:p>
    <w:p w14:paraId="13197267" w14:textId="524693F0" w:rsidR="00E203C0" w:rsidRDefault="00E203C0" w:rsidP="00034F71"/>
    <w:p w14:paraId="07BF4A91" w14:textId="052E70AF" w:rsidR="00D42DD7" w:rsidRDefault="00433D58" w:rsidP="00034F71">
      <w:pPr>
        <w:rPr>
          <w:rFonts w:ascii="Arial" w:hAnsi="Arial" w:cs="Arial"/>
        </w:rPr>
      </w:pPr>
      <w:r>
        <w:rPr>
          <w:rFonts w:ascii="Arial" w:hAnsi="Arial" w:cs="Arial"/>
        </w:rPr>
        <w:t>Regarding the assistance information of the second agreement, i</w:t>
      </w:r>
      <w:r w:rsidR="00ED7375" w:rsidRPr="00433D58">
        <w:rPr>
          <w:rFonts w:ascii="Arial" w:hAnsi="Arial" w:cs="Arial"/>
        </w:rPr>
        <w:t xml:space="preserve">n Release 17, the coverage of NTN cells </w:t>
      </w:r>
      <w:r w:rsidR="00335977" w:rsidRPr="00433D58">
        <w:rPr>
          <w:rFonts w:ascii="Arial" w:hAnsi="Arial" w:cs="Arial"/>
        </w:rPr>
        <w:t xml:space="preserve">earth </w:t>
      </w:r>
      <w:r w:rsidR="00ED7375" w:rsidRPr="00433D58">
        <w:rPr>
          <w:rFonts w:ascii="Arial" w:hAnsi="Arial" w:cs="Arial"/>
        </w:rPr>
        <w:t>fixed cells has been described with a reference location and a radius, e.g</w:t>
      </w:r>
      <w:r w:rsidR="00580B7F" w:rsidRPr="00433D58">
        <w:rPr>
          <w:rFonts w:ascii="Arial" w:hAnsi="Arial" w:cs="Arial"/>
        </w:rPr>
        <w:t>.</w:t>
      </w:r>
      <w:r w:rsidR="00ED7375" w:rsidRPr="00433D58">
        <w:rPr>
          <w:rFonts w:ascii="Arial" w:hAnsi="Arial" w:cs="Arial"/>
        </w:rPr>
        <w:t>,</w:t>
      </w:r>
      <w:r w:rsidR="00580B7F" w:rsidRPr="00433D58">
        <w:rPr>
          <w:rFonts w:ascii="Arial" w:hAnsi="Arial" w:cs="Arial"/>
        </w:rPr>
        <w:t xml:space="preserve"> in discontinuous coverage assistance information. </w:t>
      </w:r>
      <w:r w:rsidR="009D6B6D" w:rsidRPr="00433D58">
        <w:rPr>
          <w:rFonts w:ascii="Arial" w:hAnsi="Arial" w:cs="Arial"/>
        </w:rPr>
        <w:t xml:space="preserve">This might be unsuitable for </w:t>
      </w:r>
      <w:r w:rsidR="003978FE" w:rsidRPr="00433D58">
        <w:rPr>
          <w:rFonts w:ascii="Arial" w:hAnsi="Arial" w:cs="Arial"/>
        </w:rPr>
        <w:t>this purpose since i</w:t>
      </w:r>
      <w:r w:rsidR="009D6B6D" w:rsidRPr="00433D58">
        <w:rPr>
          <w:rFonts w:ascii="Arial" w:hAnsi="Arial" w:cs="Arial"/>
        </w:rPr>
        <w:t xml:space="preserve">ndicating the exact position of </w:t>
      </w:r>
      <w:r w:rsidR="003978FE" w:rsidRPr="00433D58">
        <w:rPr>
          <w:rFonts w:ascii="Arial" w:hAnsi="Arial" w:cs="Arial"/>
        </w:rPr>
        <w:t>a</w:t>
      </w:r>
      <w:r w:rsidR="009D6B6D" w:rsidRPr="00433D58">
        <w:rPr>
          <w:rFonts w:ascii="Arial" w:hAnsi="Arial" w:cs="Arial"/>
        </w:rPr>
        <w:t xml:space="preserve"> gNB m</w:t>
      </w:r>
      <w:r w:rsidR="00ED7375" w:rsidRPr="00433D58">
        <w:rPr>
          <w:rFonts w:ascii="Arial" w:hAnsi="Arial" w:cs="Arial"/>
        </w:rPr>
        <w:t>ight raise security concerns. In addition, the coverage patterns of some T</w:t>
      </w:r>
      <w:r w:rsidR="009879B4" w:rsidRPr="00433D58">
        <w:rPr>
          <w:rFonts w:ascii="Arial" w:hAnsi="Arial" w:cs="Arial"/>
        </w:rPr>
        <w:t>errestrial</w:t>
      </w:r>
      <w:r w:rsidR="00ED7375" w:rsidRPr="00433D58">
        <w:rPr>
          <w:rFonts w:ascii="Arial" w:hAnsi="Arial" w:cs="Arial"/>
        </w:rPr>
        <w:t xml:space="preserve"> networks might be </w:t>
      </w:r>
      <w:r w:rsidR="009879B4" w:rsidRPr="00433D58">
        <w:rPr>
          <w:rFonts w:ascii="Arial" w:hAnsi="Arial" w:cs="Arial"/>
        </w:rPr>
        <w:t>difficult</w:t>
      </w:r>
      <w:r w:rsidR="00ED7375" w:rsidRPr="00433D58">
        <w:rPr>
          <w:rFonts w:ascii="Arial" w:hAnsi="Arial" w:cs="Arial"/>
        </w:rPr>
        <w:t xml:space="preserve"> to describe with such parameters.</w:t>
      </w:r>
      <w:r w:rsidR="003978FE" w:rsidRPr="00433D58">
        <w:rPr>
          <w:rFonts w:ascii="Arial" w:hAnsi="Arial" w:cs="Arial"/>
        </w:rPr>
        <w:t xml:space="preserve"> Therefore, </w:t>
      </w:r>
      <w:r w:rsidR="009879B4" w:rsidRPr="00433D58">
        <w:rPr>
          <w:rFonts w:ascii="Arial" w:hAnsi="Arial" w:cs="Arial"/>
        </w:rPr>
        <w:t>t</w:t>
      </w:r>
      <w:r w:rsidR="00617A9A" w:rsidRPr="00433D58">
        <w:rPr>
          <w:rFonts w:ascii="Arial" w:hAnsi="Arial" w:cs="Arial"/>
        </w:rPr>
        <w:t xml:space="preserve">he geographic indication can </w:t>
      </w:r>
      <w:r w:rsidR="000A3B14">
        <w:rPr>
          <w:rFonts w:ascii="Arial" w:hAnsi="Arial" w:cs="Arial"/>
        </w:rPr>
        <w:t xml:space="preserve">be described using </w:t>
      </w:r>
      <w:r w:rsidR="000F3DE3">
        <w:rPr>
          <w:rFonts w:ascii="Arial" w:hAnsi="Arial" w:cs="Arial"/>
        </w:rPr>
        <w:t xml:space="preserve">the </w:t>
      </w:r>
      <w:r w:rsidR="00617A9A" w:rsidRPr="00433D58">
        <w:rPr>
          <w:rFonts w:ascii="Arial" w:hAnsi="Arial" w:cs="Arial"/>
        </w:rPr>
        <w:t xml:space="preserve">polygon </w:t>
      </w:r>
      <w:r w:rsidR="00F6316E" w:rsidRPr="00433D58">
        <w:rPr>
          <w:rFonts w:ascii="Arial" w:hAnsi="Arial" w:cs="Arial"/>
        </w:rPr>
        <w:t xml:space="preserve">shape </w:t>
      </w:r>
      <w:r w:rsidR="000F3DE3">
        <w:rPr>
          <w:rFonts w:ascii="Arial" w:hAnsi="Arial" w:cs="Arial"/>
        </w:rPr>
        <w:t>already captured in</w:t>
      </w:r>
      <w:r w:rsidR="00617A9A" w:rsidRPr="00433D58">
        <w:rPr>
          <w:rFonts w:ascii="Arial" w:hAnsi="Arial" w:cs="Arial"/>
        </w:rPr>
        <w:t xml:space="preserve"> TS </w:t>
      </w:r>
      <w:r w:rsidR="00F6316E" w:rsidRPr="00433D58">
        <w:rPr>
          <w:rFonts w:ascii="Arial" w:hAnsi="Arial" w:cs="Arial"/>
        </w:rPr>
        <w:t>23</w:t>
      </w:r>
      <w:r w:rsidR="006A70F2" w:rsidRPr="00433D58">
        <w:rPr>
          <w:rFonts w:ascii="Arial" w:hAnsi="Arial" w:cs="Arial"/>
        </w:rPr>
        <w:t>.032</w:t>
      </w:r>
      <w:r w:rsidR="000F3DE3">
        <w:rPr>
          <w:rFonts w:ascii="Arial" w:hAnsi="Arial" w:cs="Arial"/>
        </w:rPr>
        <w:t xml:space="preserve"> which allows for different levels of complexity</w:t>
      </w:r>
      <w:r w:rsidR="006A70F2" w:rsidRPr="00433D58">
        <w:rPr>
          <w:rFonts w:ascii="Arial" w:hAnsi="Arial" w:cs="Arial"/>
        </w:rPr>
        <w:t>.</w:t>
      </w:r>
    </w:p>
    <w:p w14:paraId="38F7A9C5" w14:textId="77777777" w:rsidR="00C31FE1" w:rsidRPr="00433D58" w:rsidRDefault="00C31FE1" w:rsidP="00034F71">
      <w:pPr>
        <w:rPr>
          <w:rFonts w:ascii="Arial" w:hAnsi="Arial" w:cs="Arial"/>
        </w:rPr>
      </w:pPr>
    </w:p>
    <w:p w14:paraId="14BBD5F2" w14:textId="1A3EDB8E" w:rsidR="000C09CA" w:rsidRDefault="000275AC" w:rsidP="00E203C0">
      <w:pPr>
        <w:pStyle w:val="Proposal"/>
      </w:pPr>
      <w:bookmarkStart w:id="17" w:name="_Toc115430898"/>
      <w:r>
        <w:t>Introduce</w:t>
      </w:r>
      <w:r w:rsidR="00431BD2">
        <w:t xml:space="preserve"> </w:t>
      </w:r>
      <w:r w:rsidR="008B7C18">
        <w:t>a</w:t>
      </w:r>
      <w:r w:rsidR="00E31205">
        <w:t xml:space="preserve"> parameter using the</w:t>
      </w:r>
      <w:r w:rsidR="008B7C18">
        <w:t xml:space="preserve"> polygon </w:t>
      </w:r>
      <w:r w:rsidR="00E31205">
        <w:t xml:space="preserve">shape captured in TS 23.032 </w:t>
      </w:r>
      <w:r w:rsidR="008B7C18">
        <w:t xml:space="preserve">to describe the coverage area of </w:t>
      </w:r>
      <w:r w:rsidR="00431BD2">
        <w:t>a TN neighbour cell.</w:t>
      </w:r>
      <w:bookmarkEnd w:id="17"/>
    </w:p>
    <w:p w14:paraId="78A632B4" w14:textId="773DDA84" w:rsidR="00E203C0" w:rsidRDefault="00C31FE1" w:rsidP="00E203C0">
      <w:pPr>
        <w:pStyle w:val="Proposal"/>
      </w:pPr>
      <w:bookmarkStart w:id="18" w:name="_Toc115430899"/>
      <w:r>
        <w:t xml:space="preserve">A UE shall </w:t>
      </w:r>
      <w:r w:rsidR="00E203C0">
        <w:t>limit neighbour cell measurements in TN frequencies to the areas where there is such coverage.</w:t>
      </w:r>
      <w:bookmarkEnd w:id="18"/>
    </w:p>
    <w:p w14:paraId="46192409" w14:textId="77777777" w:rsidR="00E203C0" w:rsidRDefault="00E203C0" w:rsidP="00034F71"/>
    <w:p w14:paraId="0CE08F7E" w14:textId="77777777" w:rsidR="00761CF8" w:rsidRDefault="00761CF8">
      <w:pPr>
        <w:overflowPunct/>
        <w:autoSpaceDE/>
        <w:autoSpaceDN/>
        <w:adjustRightInd/>
        <w:spacing w:after="0"/>
        <w:textAlignment w:val="auto"/>
        <w:rPr>
          <w:rFonts w:ascii="Arial" w:hAnsi="Arial"/>
          <w:lang w:eastAsia="zh-CN"/>
        </w:rPr>
      </w:pPr>
      <w:r>
        <w:br w:type="page"/>
      </w:r>
    </w:p>
    <w:p w14:paraId="78663BC0" w14:textId="78D0AD11" w:rsidR="009170BA" w:rsidRDefault="004F33D9" w:rsidP="004F33D9">
      <w:pPr>
        <w:pStyle w:val="Heading1"/>
      </w:pPr>
      <w:r>
        <w:t>3</w:t>
      </w:r>
      <w:r>
        <w:tab/>
      </w:r>
      <w:r w:rsidR="009170BA">
        <w:t>Conclusions</w:t>
      </w:r>
    </w:p>
    <w:p w14:paraId="0D39E4CC" w14:textId="65974CB2"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93B3F2C" w14:textId="14B5CDA5" w:rsidR="00E74778"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15430882" w:history="1">
        <w:r w:rsidR="00E74778" w:rsidRPr="00F02817">
          <w:rPr>
            <w:rStyle w:val="Hyperlink"/>
            <w:noProof/>
          </w:rPr>
          <w:t>Observation 1</w:t>
        </w:r>
        <w:r w:rsidR="00E74778">
          <w:rPr>
            <w:rFonts w:asciiTheme="minorHAnsi" w:eastAsiaTheme="minorEastAsia" w:hAnsiTheme="minorHAnsi" w:cstheme="minorBidi"/>
            <w:b w:val="0"/>
            <w:noProof/>
            <w:sz w:val="22"/>
            <w:szCs w:val="22"/>
            <w:lang w:val="en-SE" w:eastAsia="en-SE"/>
          </w:rPr>
          <w:tab/>
        </w:r>
        <w:r w:rsidR="00E74778" w:rsidRPr="00F02817">
          <w:rPr>
            <w:rStyle w:val="Hyperlink"/>
            <w:noProof/>
          </w:rPr>
          <w:t>Satellite movements cause a high frequency of handovers and an increase collision rate during the random-access procedure</w:t>
        </w:r>
      </w:hyperlink>
    </w:p>
    <w:p w14:paraId="60F3374D" w14:textId="74538488" w:rsidR="00E74778" w:rsidRDefault="00A627C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883" w:history="1">
        <w:r w:rsidR="00E74778" w:rsidRPr="00F02817">
          <w:rPr>
            <w:rStyle w:val="Hyperlink"/>
            <w:noProof/>
          </w:rPr>
          <w:t>Observation 2</w:t>
        </w:r>
        <w:r w:rsidR="00E74778">
          <w:rPr>
            <w:rFonts w:asciiTheme="minorHAnsi" w:eastAsiaTheme="minorEastAsia" w:hAnsiTheme="minorHAnsi" w:cstheme="minorBidi"/>
            <w:b w:val="0"/>
            <w:noProof/>
            <w:sz w:val="22"/>
            <w:szCs w:val="22"/>
            <w:lang w:val="en-SE" w:eastAsia="en-SE"/>
          </w:rPr>
          <w:tab/>
        </w:r>
        <w:r w:rsidR="00E74778" w:rsidRPr="00F02817">
          <w:rPr>
            <w:rStyle w:val="Hyperlink"/>
            <w:noProof/>
          </w:rPr>
          <w:t>RACH-less handover is limited to scenarios where the TA is known (or predictable).</w:t>
        </w:r>
      </w:hyperlink>
    </w:p>
    <w:p w14:paraId="6D9D6747" w14:textId="62BA09F9" w:rsidR="00E74778" w:rsidRDefault="00A627C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884" w:history="1">
        <w:r w:rsidR="00E74778" w:rsidRPr="00F02817">
          <w:rPr>
            <w:rStyle w:val="Hyperlink"/>
            <w:noProof/>
          </w:rPr>
          <w:t>Observation 3</w:t>
        </w:r>
        <w:r w:rsidR="00E74778">
          <w:rPr>
            <w:rFonts w:asciiTheme="minorHAnsi" w:eastAsiaTheme="minorEastAsia" w:hAnsiTheme="minorHAnsi" w:cstheme="minorBidi"/>
            <w:b w:val="0"/>
            <w:noProof/>
            <w:sz w:val="22"/>
            <w:szCs w:val="22"/>
            <w:lang w:val="en-SE" w:eastAsia="en-SE"/>
          </w:rPr>
          <w:tab/>
        </w:r>
        <w:r w:rsidR="00E74778" w:rsidRPr="00F02817">
          <w:rPr>
            <w:rStyle w:val="Hyperlink"/>
            <w:noProof/>
          </w:rPr>
          <w:t>For intra-satellite HO, the difference in propagation delay between the source and the target cell is zero</w:t>
        </w:r>
      </w:hyperlink>
    </w:p>
    <w:p w14:paraId="4A8FF49F" w14:textId="06C9F42B" w:rsidR="00E74778" w:rsidRDefault="00A627C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885" w:history="1">
        <w:r w:rsidR="00E74778" w:rsidRPr="00F02817">
          <w:rPr>
            <w:rStyle w:val="Hyperlink"/>
            <w:noProof/>
          </w:rPr>
          <w:t>Observation 4</w:t>
        </w:r>
        <w:r w:rsidR="00E74778">
          <w:rPr>
            <w:rFonts w:asciiTheme="minorHAnsi" w:eastAsiaTheme="minorEastAsia" w:hAnsiTheme="minorHAnsi" w:cstheme="minorBidi"/>
            <w:b w:val="0"/>
            <w:noProof/>
            <w:sz w:val="22"/>
            <w:szCs w:val="22"/>
            <w:lang w:val="en-SE" w:eastAsia="en-SE"/>
          </w:rPr>
          <w:tab/>
        </w:r>
        <w:r w:rsidR="00E74778" w:rsidRPr="00F02817">
          <w:rPr>
            <w:rStyle w:val="Hyperlink"/>
            <w:noProof/>
          </w:rPr>
          <w:t>For inter-satellite HO, the UE can accurately estimate the difference in propagation delay between the source cell and the target cell</w:t>
        </w:r>
      </w:hyperlink>
    </w:p>
    <w:p w14:paraId="0FA84BE9" w14:textId="407A09CD" w:rsidR="00E74778" w:rsidRDefault="00A627C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886" w:history="1">
        <w:r w:rsidR="00E74778" w:rsidRPr="00F02817">
          <w:rPr>
            <w:rStyle w:val="Hyperlink"/>
            <w:noProof/>
          </w:rPr>
          <w:t>Observation 5</w:t>
        </w:r>
        <w:r w:rsidR="00E74778">
          <w:rPr>
            <w:rFonts w:asciiTheme="minorHAnsi" w:eastAsiaTheme="minorEastAsia" w:hAnsiTheme="minorHAnsi" w:cstheme="minorBidi"/>
            <w:b w:val="0"/>
            <w:noProof/>
            <w:sz w:val="22"/>
            <w:szCs w:val="22"/>
            <w:lang w:val="en-SE" w:eastAsia="en-SE"/>
          </w:rPr>
          <w:tab/>
        </w:r>
        <w:r w:rsidR="00E74778" w:rsidRPr="00F02817">
          <w:rPr>
            <w:rStyle w:val="Hyperlink"/>
            <w:noProof/>
          </w:rPr>
          <w:t>RACH-less handover will reduce signalling overload, reduce PRACH load and decrease RA collision rate in the target cell</w:t>
        </w:r>
      </w:hyperlink>
    </w:p>
    <w:p w14:paraId="4674DC72" w14:textId="5EFB21A8" w:rsidR="00E74778" w:rsidRDefault="00A627C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887" w:history="1">
        <w:r w:rsidR="00E74778" w:rsidRPr="00F02817">
          <w:rPr>
            <w:rStyle w:val="Hyperlink"/>
            <w:noProof/>
          </w:rPr>
          <w:t>Observation 6</w:t>
        </w:r>
        <w:r w:rsidR="00E74778">
          <w:rPr>
            <w:rFonts w:asciiTheme="minorHAnsi" w:eastAsiaTheme="minorEastAsia" w:hAnsiTheme="minorHAnsi" w:cstheme="minorBidi"/>
            <w:b w:val="0"/>
            <w:noProof/>
            <w:sz w:val="22"/>
            <w:szCs w:val="22"/>
            <w:lang w:val="en-SE" w:eastAsia="en-SE"/>
          </w:rPr>
          <w:tab/>
        </w:r>
        <w:r w:rsidR="00E74778" w:rsidRPr="00F02817">
          <w:rPr>
            <w:rStyle w:val="Hyperlink"/>
            <w:noProof/>
          </w:rPr>
          <w:t>In NTN, earth fixed cell change involves a considerable signalling load during the handover preparation.</w:t>
        </w:r>
      </w:hyperlink>
    </w:p>
    <w:p w14:paraId="0C39E11A" w14:textId="3B5FFAA7" w:rsidR="00E74778" w:rsidRDefault="00A627C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888" w:history="1">
        <w:r w:rsidR="00E74778" w:rsidRPr="00F02817">
          <w:rPr>
            <w:rStyle w:val="Hyperlink"/>
            <w:noProof/>
          </w:rPr>
          <w:t>Observation 7</w:t>
        </w:r>
        <w:r w:rsidR="00E74778">
          <w:rPr>
            <w:rFonts w:asciiTheme="minorHAnsi" w:eastAsiaTheme="minorEastAsia" w:hAnsiTheme="minorHAnsi" w:cstheme="minorBidi"/>
            <w:b w:val="0"/>
            <w:noProof/>
            <w:sz w:val="22"/>
            <w:szCs w:val="22"/>
            <w:lang w:val="en-SE" w:eastAsia="en-SE"/>
          </w:rPr>
          <w:tab/>
        </w:r>
        <w:r w:rsidR="00E74778" w:rsidRPr="00F02817">
          <w:rPr>
            <w:rStyle w:val="Hyperlink"/>
            <w:noProof/>
          </w:rPr>
          <w:t>CHO will mitigate the signalling load in the source cell since handover preparation information can be sent well in time before the short time of overlap of the old (source) and the new (target) cell.</w:t>
        </w:r>
      </w:hyperlink>
    </w:p>
    <w:p w14:paraId="237D5433" w14:textId="14D9B061" w:rsidR="00E74778" w:rsidRDefault="00A627C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889" w:history="1">
        <w:r w:rsidR="00E74778" w:rsidRPr="00F02817">
          <w:rPr>
            <w:rStyle w:val="Hyperlink"/>
            <w:noProof/>
          </w:rPr>
          <w:t>Observation 8</w:t>
        </w:r>
        <w:r w:rsidR="00E74778">
          <w:rPr>
            <w:rFonts w:asciiTheme="minorHAnsi" w:eastAsiaTheme="minorEastAsia" w:hAnsiTheme="minorHAnsi" w:cstheme="minorBidi"/>
            <w:b w:val="0"/>
            <w:noProof/>
            <w:sz w:val="22"/>
            <w:szCs w:val="22"/>
            <w:lang w:val="en-SE" w:eastAsia="en-SE"/>
          </w:rPr>
          <w:tab/>
        </w:r>
        <w:r w:rsidR="00E74778" w:rsidRPr="00F02817">
          <w:rPr>
            <w:rStyle w:val="Hyperlink"/>
            <w:noProof/>
          </w:rPr>
          <w:t>It is expected that most of the information provided to each UE in the (C)HO command, describing the target cell configuration, is identical.</w:t>
        </w:r>
      </w:hyperlink>
    </w:p>
    <w:p w14:paraId="1A13F362" w14:textId="65B07010" w:rsidR="00E74778" w:rsidRDefault="00A627C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890" w:history="1">
        <w:r w:rsidR="00E74778" w:rsidRPr="00F02817">
          <w:rPr>
            <w:rStyle w:val="Hyperlink"/>
            <w:noProof/>
          </w:rPr>
          <w:t>Observation 9</w:t>
        </w:r>
        <w:r w:rsidR="00E74778">
          <w:rPr>
            <w:rFonts w:asciiTheme="minorHAnsi" w:eastAsiaTheme="minorEastAsia" w:hAnsiTheme="minorHAnsi" w:cstheme="minorBidi"/>
            <w:b w:val="0"/>
            <w:noProof/>
            <w:sz w:val="22"/>
            <w:szCs w:val="22"/>
            <w:lang w:val="en-SE" w:eastAsia="en-SE"/>
          </w:rPr>
          <w:tab/>
        </w:r>
        <w:r w:rsidR="00E74778" w:rsidRPr="00F02817">
          <w:rPr>
            <w:rStyle w:val="Hyperlink"/>
            <w:noProof/>
          </w:rPr>
          <w:t>Measurement initiation for cell reselection includes time-based and location-based solutions for the fixed earth cell scenario.</w:t>
        </w:r>
      </w:hyperlink>
    </w:p>
    <w:p w14:paraId="0A6CBBB0" w14:textId="60C282FD" w:rsidR="00E74778" w:rsidRDefault="00A627C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891" w:history="1">
        <w:r w:rsidR="00E74778" w:rsidRPr="00F02817">
          <w:rPr>
            <w:rStyle w:val="Hyperlink"/>
            <w:noProof/>
          </w:rPr>
          <w:t>Observation 10</w:t>
        </w:r>
        <w:r w:rsidR="00E74778">
          <w:rPr>
            <w:rFonts w:asciiTheme="minorHAnsi" w:eastAsiaTheme="minorEastAsia" w:hAnsiTheme="minorHAnsi" w:cstheme="minorBidi"/>
            <w:b w:val="0"/>
            <w:noProof/>
            <w:sz w:val="22"/>
            <w:szCs w:val="22"/>
            <w:lang w:val="en-SE" w:eastAsia="en-SE"/>
          </w:rPr>
          <w:tab/>
        </w:r>
        <w:r w:rsidR="00E74778" w:rsidRPr="00F02817">
          <w:rPr>
            <w:rStyle w:val="Hyperlink"/>
            <w:noProof/>
          </w:rPr>
          <w:t>A single service stop time cannot be provided for all UEs in earth moving cell, except for the feeder link switch scenario.</w:t>
        </w:r>
      </w:hyperlink>
    </w:p>
    <w:p w14:paraId="21E720E8" w14:textId="0869148D"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1CE028A" w14:textId="58E2E57C" w:rsidR="00E74778"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15430892" w:history="1">
        <w:r w:rsidR="00E74778" w:rsidRPr="00617D96">
          <w:rPr>
            <w:rStyle w:val="Hyperlink"/>
            <w:noProof/>
          </w:rPr>
          <w:t>Proposal 1</w:t>
        </w:r>
        <w:r w:rsidR="00E74778">
          <w:rPr>
            <w:rFonts w:asciiTheme="minorHAnsi" w:eastAsiaTheme="minorEastAsia" w:hAnsiTheme="minorHAnsi" w:cstheme="minorBidi"/>
            <w:b w:val="0"/>
            <w:noProof/>
            <w:sz w:val="22"/>
            <w:szCs w:val="22"/>
            <w:lang w:val="en-SE" w:eastAsia="en-SE"/>
          </w:rPr>
          <w:tab/>
        </w:r>
        <w:r w:rsidR="00E74778" w:rsidRPr="00617D96">
          <w:rPr>
            <w:rStyle w:val="Hyperlink"/>
            <w:noProof/>
          </w:rPr>
          <w:t>RAN2 to work in adapting RACH-less handover to NR NTN in Rel-18</w:t>
        </w:r>
      </w:hyperlink>
    </w:p>
    <w:p w14:paraId="4744475E" w14:textId="4C91262F" w:rsidR="00E74778" w:rsidRDefault="00A627C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893" w:history="1">
        <w:r w:rsidR="00E74778" w:rsidRPr="00617D96">
          <w:rPr>
            <w:rStyle w:val="Hyperlink"/>
            <w:noProof/>
          </w:rPr>
          <w:t>Proposal 2</w:t>
        </w:r>
        <w:r w:rsidR="00E74778">
          <w:rPr>
            <w:rFonts w:asciiTheme="minorHAnsi" w:eastAsiaTheme="minorEastAsia" w:hAnsiTheme="minorHAnsi" w:cstheme="minorBidi"/>
            <w:b w:val="0"/>
            <w:noProof/>
            <w:sz w:val="22"/>
            <w:szCs w:val="22"/>
            <w:lang w:val="en-SE" w:eastAsia="en-SE"/>
          </w:rPr>
          <w:tab/>
        </w:r>
        <w:r w:rsidR="00E74778" w:rsidRPr="00617D96">
          <w:rPr>
            <w:rStyle w:val="Hyperlink"/>
            <w:noProof/>
          </w:rPr>
          <w:t>Find methods to reduce the size of the (C)HO command by providing common target cell configuration in, e.g., system information</w:t>
        </w:r>
      </w:hyperlink>
    </w:p>
    <w:p w14:paraId="2172B5D2" w14:textId="045822ED" w:rsidR="00E74778" w:rsidRDefault="00A627C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894" w:history="1">
        <w:r w:rsidR="00E74778" w:rsidRPr="00617D96">
          <w:rPr>
            <w:rStyle w:val="Hyperlink"/>
            <w:noProof/>
          </w:rPr>
          <w:t>Proposal 3</w:t>
        </w:r>
        <w:r w:rsidR="00E74778">
          <w:rPr>
            <w:rFonts w:asciiTheme="minorHAnsi" w:eastAsiaTheme="minorEastAsia" w:hAnsiTheme="minorHAnsi" w:cstheme="minorBidi"/>
            <w:b w:val="0"/>
            <w:noProof/>
            <w:sz w:val="22"/>
            <w:szCs w:val="22"/>
            <w:lang w:val="en-SE" w:eastAsia="en-SE"/>
          </w:rPr>
          <w:tab/>
        </w:r>
        <w:r w:rsidR="00E74778" w:rsidRPr="00617D96">
          <w:rPr>
            <w:rStyle w:val="Hyperlink"/>
            <w:noProof/>
          </w:rPr>
          <w:t>Introduce a service stop time parameter (similar to t-service) to initiate measurements before cell replacement due to feeder link switch case.</w:t>
        </w:r>
      </w:hyperlink>
    </w:p>
    <w:p w14:paraId="48B5F681" w14:textId="7ECF6708" w:rsidR="00E74778" w:rsidRDefault="00A627C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895" w:history="1">
        <w:r w:rsidR="00E74778" w:rsidRPr="00617D96">
          <w:rPr>
            <w:rStyle w:val="Hyperlink"/>
            <w:noProof/>
          </w:rPr>
          <w:t>Proposal 4</w:t>
        </w:r>
        <w:r w:rsidR="00E74778">
          <w:rPr>
            <w:rFonts w:asciiTheme="minorHAnsi" w:eastAsiaTheme="minorEastAsia" w:hAnsiTheme="minorHAnsi" w:cstheme="minorBidi"/>
            <w:b w:val="0"/>
            <w:noProof/>
            <w:sz w:val="22"/>
            <w:szCs w:val="22"/>
            <w:lang w:val="en-SE" w:eastAsia="en-SE"/>
          </w:rPr>
          <w:tab/>
        </w:r>
        <w:r w:rsidR="00E74778" w:rsidRPr="00617D96">
          <w:rPr>
            <w:rStyle w:val="Hyperlink"/>
            <w:noProof/>
          </w:rPr>
          <w:t>Network broadcasts assistance information for measurement initiation in Earth moving cells.</w:t>
        </w:r>
      </w:hyperlink>
    </w:p>
    <w:p w14:paraId="07BE9C11" w14:textId="14DF1C37" w:rsidR="00E74778" w:rsidRDefault="00A627C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896" w:history="1">
        <w:r w:rsidR="00E74778" w:rsidRPr="00617D96">
          <w:rPr>
            <w:rStyle w:val="Hyperlink"/>
            <w:noProof/>
          </w:rPr>
          <w:t>Proposal 5</w:t>
        </w:r>
        <w:r w:rsidR="00E74778">
          <w:rPr>
            <w:rFonts w:asciiTheme="minorHAnsi" w:eastAsiaTheme="minorEastAsia" w:hAnsiTheme="minorHAnsi" w:cstheme="minorBidi"/>
            <w:b w:val="0"/>
            <w:noProof/>
            <w:sz w:val="22"/>
            <w:szCs w:val="22"/>
            <w:lang w:val="en-SE" w:eastAsia="en-SE"/>
          </w:rPr>
          <w:tab/>
        </w:r>
        <w:r w:rsidR="00E74778" w:rsidRPr="00617D96">
          <w:rPr>
            <w:rStyle w:val="Hyperlink"/>
            <w:noProof/>
          </w:rPr>
          <w:t>This assistance information includes reference location at an epoch time, satellite ephemeris, and distance threshold.</w:t>
        </w:r>
      </w:hyperlink>
    </w:p>
    <w:p w14:paraId="3675EC8D" w14:textId="0B1CB168" w:rsidR="00E74778" w:rsidRDefault="00A627C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897" w:history="1">
        <w:r w:rsidR="00E74778" w:rsidRPr="00617D96">
          <w:rPr>
            <w:rStyle w:val="Hyperlink"/>
            <w:noProof/>
          </w:rPr>
          <w:t>Proposal 6</w:t>
        </w:r>
        <w:r w:rsidR="00E74778">
          <w:rPr>
            <w:rFonts w:asciiTheme="minorHAnsi" w:eastAsiaTheme="minorEastAsia" w:hAnsiTheme="minorHAnsi" w:cstheme="minorBidi"/>
            <w:b w:val="0"/>
            <w:noProof/>
            <w:sz w:val="22"/>
            <w:szCs w:val="22"/>
            <w:lang w:val="en-SE" w:eastAsia="en-SE"/>
          </w:rPr>
          <w:tab/>
        </w:r>
        <w:r w:rsidR="00E74778" w:rsidRPr="00617D96">
          <w:rPr>
            <w:rStyle w:val="Hyperlink"/>
            <w:noProof/>
          </w:rPr>
          <w:t>The network provides a geographic indication of TN cells to limit idle mode measurements.</w:t>
        </w:r>
      </w:hyperlink>
    </w:p>
    <w:p w14:paraId="6500B5C9" w14:textId="1D47C095" w:rsidR="00E74778" w:rsidRDefault="00A627C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898" w:history="1">
        <w:r w:rsidR="00E74778" w:rsidRPr="00617D96">
          <w:rPr>
            <w:rStyle w:val="Hyperlink"/>
            <w:noProof/>
          </w:rPr>
          <w:t>Proposal 7</w:t>
        </w:r>
        <w:r w:rsidR="00E74778">
          <w:rPr>
            <w:rFonts w:asciiTheme="minorHAnsi" w:eastAsiaTheme="minorEastAsia" w:hAnsiTheme="minorHAnsi" w:cstheme="minorBidi"/>
            <w:b w:val="0"/>
            <w:noProof/>
            <w:sz w:val="22"/>
            <w:szCs w:val="22"/>
            <w:lang w:val="en-SE" w:eastAsia="en-SE"/>
          </w:rPr>
          <w:tab/>
        </w:r>
        <w:r w:rsidR="00E74778" w:rsidRPr="00617D96">
          <w:rPr>
            <w:rStyle w:val="Hyperlink"/>
            <w:noProof/>
          </w:rPr>
          <w:t>Introduce a parameter using the polygon shape captured in TS 23.032 to describe the coverage area of a TN neighbour cell.</w:t>
        </w:r>
      </w:hyperlink>
    </w:p>
    <w:p w14:paraId="674AD4AE" w14:textId="6430669C" w:rsidR="00E74778" w:rsidRDefault="00A627C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30899" w:history="1">
        <w:r w:rsidR="00E74778" w:rsidRPr="00617D96">
          <w:rPr>
            <w:rStyle w:val="Hyperlink"/>
            <w:noProof/>
          </w:rPr>
          <w:t>Proposal 8</w:t>
        </w:r>
        <w:r w:rsidR="00E74778">
          <w:rPr>
            <w:rFonts w:asciiTheme="minorHAnsi" w:eastAsiaTheme="minorEastAsia" w:hAnsiTheme="minorHAnsi" w:cstheme="minorBidi"/>
            <w:b w:val="0"/>
            <w:noProof/>
            <w:sz w:val="22"/>
            <w:szCs w:val="22"/>
            <w:lang w:val="en-SE" w:eastAsia="en-SE"/>
          </w:rPr>
          <w:tab/>
        </w:r>
        <w:r w:rsidR="00E74778" w:rsidRPr="00617D96">
          <w:rPr>
            <w:rStyle w:val="Hyperlink"/>
            <w:noProof/>
          </w:rPr>
          <w:t>A UE shall limit neighbour cell measurements in TN frequencies to the areas where there is such coverage.</w:t>
        </w:r>
      </w:hyperlink>
    </w:p>
    <w:p w14:paraId="256460F8" w14:textId="3CCE104C" w:rsidR="006E1C82" w:rsidRPr="00CE0424" w:rsidRDefault="006E1C82" w:rsidP="006E1C82">
      <w:pPr>
        <w:pStyle w:val="BodyText"/>
        <w:rPr>
          <w:b/>
          <w:bCs/>
        </w:rPr>
      </w:pPr>
      <w:r>
        <w:rPr>
          <w:b/>
          <w:bCs/>
          <w:lang w:val="en-US"/>
        </w:rPr>
        <w:fldChar w:fldCharType="end"/>
      </w:r>
      <w:r w:rsidRPr="00CE0424">
        <w:rPr>
          <w:b/>
          <w:bCs/>
        </w:rPr>
        <w:t xml:space="preserve"> </w:t>
      </w:r>
    </w:p>
    <w:p w14:paraId="6822921F" w14:textId="77777777" w:rsidR="00311702" w:rsidRPr="00CE0424" w:rsidRDefault="00311702" w:rsidP="00AB0BC8"/>
    <w:p w14:paraId="114CACFF" w14:textId="77777777" w:rsidR="00C01F33" w:rsidRPr="00CE0424" w:rsidRDefault="00C01F33" w:rsidP="006E062C"/>
    <w:p w14:paraId="45955E2C" w14:textId="77777777" w:rsidR="00F507D1" w:rsidRPr="00CE0424" w:rsidRDefault="00F507D1" w:rsidP="00CE0424">
      <w:pPr>
        <w:pStyle w:val="Heading1"/>
      </w:pPr>
      <w:bookmarkStart w:id="19" w:name="_In-sequence_SDU_delivery"/>
      <w:bookmarkEnd w:id="19"/>
      <w:r w:rsidRPr="00CE0424">
        <w:t>References</w:t>
      </w:r>
    </w:p>
    <w:p w14:paraId="122CACAD" w14:textId="6F746AC2" w:rsidR="003A7EF3" w:rsidRDefault="00FA3AD7" w:rsidP="00761CF8">
      <w:pPr>
        <w:pStyle w:val="Reference"/>
      </w:pPr>
      <w:bookmarkStart w:id="20" w:name="_Ref174151459"/>
      <w:bookmarkStart w:id="21" w:name="_Ref189809556"/>
      <w:r>
        <w:t>RP-22</w:t>
      </w:r>
      <w:r w:rsidR="00F344DB">
        <w:t>2654</w:t>
      </w:r>
      <w:r>
        <w:t xml:space="preserve">, </w:t>
      </w:r>
      <w:r w:rsidRPr="00285F52">
        <w:t>NR NTN (Non-Terrestrial Networks) enhancements</w:t>
      </w:r>
      <w:r>
        <w:t>, Thales, RAN#9</w:t>
      </w:r>
      <w:r w:rsidR="00F344DB">
        <w:t>7</w:t>
      </w:r>
      <w:r>
        <w:t xml:space="preserve">, </w:t>
      </w:r>
      <w:r w:rsidR="00F344DB">
        <w:t>September</w:t>
      </w:r>
      <w:r w:rsidRPr="00285F52">
        <w:t xml:space="preserve"> </w:t>
      </w:r>
      <w:r w:rsidR="00F344DB">
        <w:t>12</w:t>
      </w:r>
      <w:r w:rsidRPr="00285F52">
        <w:t>-</w:t>
      </w:r>
      <w:r w:rsidR="00F344DB">
        <w:t>16</w:t>
      </w:r>
      <w:r w:rsidRPr="00285F52">
        <w:t>, 2022</w:t>
      </w:r>
      <w:bookmarkEnd w:id="20"/>
      <w:bookmarkEnd w:id="21"/>
      <w:r w:rsidR="00761CF8">
        <w:t>.</w:t>
      </w:r>
    </w:p>
    <w:p w14:paraId="01171C87" w14:textId="0B1C6FBB" w:rsidR="003378D6" w:rsidRDefault="003378D6" w:rsidP="003378D6">
      <w:pPr>
        <w:pStyle w:val="Reference"/>
      </w:pPr>
      <w:r>
        <w:t xml:space="preserve">3GPP </w:t>
      </w:r>
      <w:r w:rsidRPr="003378D6">
        <w:t>TR 38.821</w:t>
      </w:r>
      <w:r>
        <w:t>, Solutions for NR to support non-terrestrial networks (NTN), Release 16</w:t>
      </w:r>
    </w:p>
    <w:p w14:paraId="7A6D697D" w14:textId="43EC0F4C" w:rsidR="00A40ED7" w:rsidRDefault="00A40ED7" w:rsidP="003378D6">
      <w:pPr>
        <w:pStyle w:val="Reference"/>
      </w:pPr>
      <w:r w:rsidRPr="00A40ED7">
        <w:t>R2-2207245</w:t>
      </w:r>
      <w:r w:rsidR="007853A5">
        <w:t xml:space="preserve">, </w:t>
      </w:r>
      <w:r w:rsidR="007853A5" w:rsidRPr="007853A5">
        <w:t>NTN cell reselection enhancements</w:t>
      </w:r>
      <w:r w:rsidR="007853A5">
        <w:t>, Samsung, RAN2#119</w:t>
      </w:r>
      <w:r w:rsidR="00396DD2">
        <w:t>e</w:t>
      </w:r>
      <w:r w:rsidR="007853A5">
        <w:t>, August, 2022.</w:t>
      </w:r>
    </w:p>
    <w:p w14:paraId="21C01465" w14:textId="5FAC3AFD" w:rsidR="00E32D01" w:rsidRPr="00761CF8" w:rsidRDefault="00E32D01" w:rsidP="003378D6">
      <w:pPr>
        <w:pStyle w:val="Reference"/>
      </w:pPr>
      <w:r w:rsidRPr="00E32D01">
        <w:t>R2-2207273</w:t>
      </w:r>
      <w:r>
        <w:t xml:space="preserve">, </w:t>
      </w:r>
      <w:r w:rsidR="00F37A10" w:rsidRPr="00F37A10">
        <w:t>Discussion on NTN cell reselection enhancements</w:t>
      </w:r>
      <w:r w:rsidR="00F37A10">
        <w:t>, Intel Corporation,</w:t>
      </w:r>
      <w:r w:rsidR="0078497B">
        <w:t xml:space="preserve"> </w:t>
      </w:r>
      <w:r w:rsidR="00396DD2">
        <w:t>RAN2#119e, August 2022.</w:t>
      </w:r>
    </w:p>
    <w:sectPr w:rsidR="00E32D01" w:rsidRPr="00761CF8"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66D78" w14:textId="77777777" w:rsidR="0050352E" w:rsidRDefault="0050352E">
      <w:r>
        <w:separator/>
      </w:r>
    </w:p>
  </w:endnote>
  <w:endnote w:type="continuationSeparator" w:id="0">
    <w:p w14:paraId="69A26502" w14:textId="77777777" w:rsidR="0050352E" w:rsidRDefault="0050352E">
      <w:r>
        <w:continuationSeparator/>
      </w:r>
    </w:p>
  </w:endnote>
  <w:endnote w:type="continuationNotice" w:id="1">
    <w:p w14:paraId="1742D1F0" w14:textId="77777777" w:rsidR="0050352E" w:rsidRDefault="00503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DDF72" w14:textId="77777777" w:rsidR="0050352E" w:rsidRDefault="0050352E">
      <w:r>
        <w:separator/>
      </w:r>
    </w:p>
  </w:footnote>
  <w:footnote w:type="continuationSeparator" w:id="0">
    <w:p w14:paraId="04F0E026" w14:textId="77777777" w:rsidR="0050352E" w:rsidRDefault="0050352E">
      <w:r>
        <w:continuationSeparator/>
      </w:r>
    </w:p>
  </w:footnote>
  <w:footnote w:type="continuationNotice" w:id="1">
    <w:p w14:paraId="00E85C7B" w14:textId="77777777" w:rsidR="0050352E" w:rsidRDefault="00503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8DC1A5"/>
    <w:multiLevelType w:val="multilevel"/>
    <w:tmpl w:val="808DC1A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C"/>
    <w:multiLevelType w:val="singleLevel"/>
    <w:tmpl w:val="F856B7B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9F42B3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DE5AB4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D03487"/>
    <w:multiLevelType w:val="hybridMultilevel"/>
    <w:tmpl w:val="DEF04280"/>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16350"/>
    <w:multiLevelType w:val="hybridMultilevel"/>
    <w:tmpl w:val="7D5490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3"/>
  </w:num>
  <w:num w:numId="3">
    <w:abstractNumId w:val="19"/>
  </w:num>
  <w:num w:numId="4">
    <w:abstractNumId w:val="20"/>
  </w:num>
  <w:num w:numId="5">
    <w:abstractNumId w:val="13"/>
  </w:num>
  <w:num w:numId="6">
    <w:abstractNumId w:val="22"/>
  </w:num>
  <w:num w:numId="7">
    <w:abstractNumId w:val="27"/>
  </w:num>
  <w:num w:numId="8">
    <w:abstractNumId w:val="14"/>
  </w:num>
  <w:num w:numId="9">
    <w:abstractNumId w:val="12"/>
  </w:num>
  <w:num w:numId="10">
    <w:abstractNumId w:val="3"/>
  </w:num>
  <w:num w:numId="11">
    <w:abstractNumId w:val="2"/>
  </w:num>
  <w:num w:numId="12">
    <w:abstractNumId w:val="1"/>
  </w:num>
  <w:num w:numId="13">
    <w:abstractNumId w:val="25"/>
  </w:num>
  <w:num w:numId="14">
    <w:abstractNumId w:val="26"/>
  </w:num>
  <w:num w:numId="15">
    <w:abstractNumId w:val="21"/>
  </w:num>
  <w:num w:numId="16">
    <w:abstractNumId w:val="28"/>
  </w:num>
  <w:num w:numId="17">
    <w:abstractNumId w:val="10"/>
  </w:num>
  <w:num w:numId="18">
    <w:abstractNumId w:val="11"/>
  </w:num>
  <w:num w:numId="19">
    <w:abstractNumId w:val="6"/>
  </w:num>
  <w:num w:numId="20">
    <w:abstractNumId w:val="31"/>
  </w:num>
  <w:num w:numId="21">
    <w:abstractNumId w:val="16"/>
  </w:num>
  <w:num w:numId="22">
    <w:abstractNumId w:val="30"/>
  </w:num>
  <w:num w:numId="23">
    <w:abstractNumId w:val="17"/>
  </w:num>
  <w:num w:numId="24">
    <w:abstractNumId w:val="15"/>
  </w:num>
  <w:num w:numId="25">
    <w:abstractNumId w:val="29"/>
  </w:num>
  <w:num w:numId="26">
    <w:abstractNumId w:val="0"/>
  </w:num>
  <w:num w:numId="27">
    <w:abstractNumId w:val="5"/>
  </w:num>
  <w:num w:numId="28">
    <w:abstractNumId w:val="9"/>
  </w:num>
  <w:num w:numId="29">
    <w:abstractNumId w:val="24"/>
  </w:num>
  <w:num w:numId="30">
    <w:abstractNumId w:val="7"/>
  </w:num>
  <w:num w:numId="31">
    <w:abstractNumId w:val="8"/>
  </w:num>
  <w:num w:numId="3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6D6"/>
    <w:rsid w:val="00002A37"/>
    <w:rsid w:val="0000564C"/>
    <w:rsid w:val="00006446"/>
    <w:rsid w:val="00006896"/>
    <w:rsid w:val="00007CDC"/>
    <w:rsid w:val="00011B28"/>
    <w:rsid w:val="00015D15"/>
    <w:rsid w:val="00016FF6"/>
    <w:rsid w:val="0002564D"/>
    <w:rsid w:val="00025ECA"/>
    <w:rsid w:val="000275AC"/>
    <w:rsid w:val="000325B8"/>
    <w:rsid w:val="00034C15"/>
    <w:rsid w:val="00034F71"/>
    <w:rsid w:val="000352E9"/>
    <w:rsid w:val="00036BA1"/>
    <w:rsid w:val="000422E2"/>
    <w:rsid w:val="000424EF"/>
    <w:rsid w:val="00042F22"/>
    <w:rsid w:val="000444EF"/>
    <w:rsid w:val="00044ABB"/>
    <w:rsid w:val="00045800"/>
    <w:rsid w:val="00052917"/>
    <w:rsid w:val="00052A07"/>
    <w:rsid w:val="000534E3"/>
    <w:rsid w:val="0005606A"/>
    <w:rsid w:val="00056F3B"/>
    <w:rsid w:val="00057117"/>
    <w:rsid w:val="000616E7"/>
    <w:rsid w:val="00062965"/>
    <w:rsid w:val="0006487E"/>
    <w:rsid w:val="00065E1A"/>
    <w:rsid w:val="00066FDE"/>
    <w:rsid w:val="0006780B"/>
    <w:rsid w:val="00071B7F"/>
    <w:rsid w:val="00076F7C"/>
    <w:rsid w:val="00077E5F"/>
    <w:rsid w:val="000800C5"/>
    <w:rsid w:val="0008036A"/>
    <w:rsid w:val="0008160C"/>
    <w:rsid w:val="00081AE6"/>
    <w:rsid w:val="0008469A"/>
    <w:rsid w:val="000855EB"/>
    <w:rsid w:val="00085B52"/>
    <w:rsid w:val="000866F2"/>
    <w:rsid w:val="0009009F"/>
    <w:rsid w:val="00091557"/>
    <w:rsid w:val="000924C1"/>
    <w:rsid w:val="000924F0"/>
    <w:rsid w:val="00093474"/>
    <w:rsid w:val="00093F15"/>
    <w:rsid w:val="0009510F"/>
    <w:rsid w:val="000A1B7B"/>
    <w:rsid w:val="000A3B14"/>
    <w:rsid w:val="000A56F2"/>
    <w:rsid w:val="000A7497"/>
    <w:rsid w:val="000B0496"/>
    <w:rsid w:val="000B2719"/>
    <w:rsid w:val="000B2F62"/>
    <w:rsid w:val="000B3A8F"/>
    <w:rsid w:val="000B42DC"/>
    <w:rsid w:val="000B4AB9"/>
    <w:rsid w:val="000B58C3"/>
    <w:rsid w:val="000B61E9"/>
    <w:rsid w:val="000C09CA"/>
    <w:rsid w:val="000C165A"/>
    <w:rsid w:val="000C18BF"/>
    <w:rsid w:val="000C2E19"/>
    <w:rsid w:val="000C5000"/>
    <w:rsid w:val="000D0D07"/>
    <w:rsid w:val="000D4034"/>
    <w:rsid w:val="000D4797"/>
    <w:rsid w:val="000E0527"/>
    <w:rsid w:val="000E1068"/>
    <w:rsid w:val="000E10DF"/>
    <w:rsid w:val="000E1E92"/>
    <w:rsid w:val="000E7870"/>
    <w:rsid w:val="000F041D"/>
    <w:rsid w:val="000F06D6"/>
    <w:rsid w:val="000F0EB1"/>
    <w:rsid w:val="000F1106"/>
    <w:rsid w:val="000F3BE9"/>
    <w:rsid w:val="000F3DE3"/>
    <w:rsid w:val="000F3F6C"/>
    <w:rsid w:val="000F6DF3"/>
    <w:rsid w:val="001005FF"/>
    <w:rsid w:val="001045B2"/>
    <w:rsid w:val="00104D53"/>
    <w:rsid w:val="0010536F"/>
    <w:rsid w:val="001062FB"/>
    <w:rsid w:val="001063E6"/>
    <w:rsid w:val="00110A4A"/>
    <w:rsid w:val="00111088"/>
    <w:rsid w:val="001117BC"/>
    <w:rsid w:val="00113CF4"/>
    <w:rsid w:val="001153EA"/>
    <w:rsid w:val="00115643"/>
    <w:rsid w:val="00116765"/>
    <w:rsid w:val="001219F5"/>
    <w:rsid w:val="00121A20"/>
    <w:rsid w:val="0012377F"/>
    <w:rsid w:val="00124314"/>
    <w:rsid w:val="001257AF"/>
    <w:rsid w:val="00126B4A"/>
    <w:rsid w:val="00130CCA"/>
    <w:rsid w:val="00132FD0"/>
    <w:rsid w:val="001333CE"/>
    <w:rsid w:val="001344C0"/>
    <w:rsid w:val="001346FA"/>
    <w:rsid w:val="00135252"/>
    <w:rsid w:val="00137AB5"/>
    <w:rsid w:val="00137F0B"/>
    <w:rsid w:val="001447B5"/>
    <w:rsid w:val="00144945"/>
    <w:rsid w:val="0014773D"/>
    <w:rsid w:val="00151E23"/>
    <w:rsid w:val="001526E0"/>
    <w:rsid w:val="00152C90"/>
    <w:rsid w:val="00153D92"/>
    <w:rsid w:val="001551B5"/>
    <w:rsid w:val="001602F8"/>
    <w:rsid w:val="00160E55"/>
    <w:rsid w:val="001659C1"/>
    <w:rsid w:val="0017210E"/>
    <w:rsid w:val="00173A8E"/>
    <w:rsid w:val="0017502C"/>
    <w:rsid w:val="0018143F"/>
    <w:rsid w:val="00181FF8"/>
    <w:rsid w:val="00186748"/>
    <w:rsid w:val="00190AC1"/>
    <w:rsid w:val="0019341A"/>
    <w:rsid w:val="00194407"/>
    <w:rsid w:val="001944C9"/>
    <w:rsid w:val="00197DF9"/>
    <w:rsid w:val="001A1987"/>
    <w:rsid w:val="001A2564"/>
    <w:rsid w:val="001A29D8"/>
    <w:rsid w:val="001A4E29"/>
    <w:rsid w:val="001A6173"/>
    <w:rsid w:val="001A6661"/>
    <w:rsid w:val="001A6CBA"/>
    <w:rsid w:val="001B0D97"/>
    <w:rsid w:val="001B44EF"/>
    <w:rsid w:val="001B5A5D"/>
    <w:rsid w:val="001B6CDE"/>
    <w:rsid w:val="001B782C"/>
    <w:rsid w:val="001C058B"/>
    <w:rsid w:val="001C1CE5"/>
    <w:rsid w:val="001C3D2A"/>
    <w:rsid w:val="001C48F4"/>
    <w:rsid w:val="001D16C5"/>
    <w:rsid w:val="001D51BA"/>
    <w:rsid w:val="001D53E7"/>
    <w:rsid w:val="001D6342"/>
    <w:rsid w:val="001D6D53"/>
    <w:rsid w:val="001E1F63"/>
    <w:rsid w:val="001E58E2"/>
    <w:rsid w:val="001E7AED"/>
    <w:rsid w:val="001F03E8"/>
    <w:rsid w:val="001F1114"/>
    <w:rsid w:val="001F3916"/>
    <w:rsid w:val="001F3FBA"/>
    <w:rsid w:val="001F5360"/>
    <w:rsid w:val="001F54C5"/>
    <w:rsid w:val="001F5693"/>
    <w:rsid w:val="001F662C"/>
    <w:rsid w:val="001F7074"/>
    <w:rsid w:val="00200490"/>
    <w:rsid w:val="00201B4F"/>
    <w:rsid w:val="00201F3A"/>
    <w:rsid w:val="00203F96"/>
    <w:rsid w:val="002069B2"/>
    <w:rsid w:val="00207FA3"/>
    <w:rsid w:val="002146DB"/>
    <w:rsid w:val="00214DA8"/>
    <w:rsid w:val="00215423"/>
    <w:rsid w:val="002158FA"/>
    <w:rsid w:val="00220600"/>
    <w:rsid w:val="00220891"/>
    <w:rsid w:val="002224DB"/>
    <w:rsid w:val="002229BF"/>
    <w:rsid w:val="00222E71"/>
    <w:rsid w:val="00223FCB"/>
    <w:rsid w:val="00224C31"/>
    <w:rsid w:val="002252C3"/>
    <w:rsid w:val="00225C54"/>
    <w:rsid w:val="0022779F"/>
    <w:rsid w:val="00230765"/>
    <w:rsid w:val="00230D18"/>
    <w:rsid w:val="002319E4"/>
    <w:rsid w:val="002336DC"/>
    <w:rsid w:val="00235632"/>
    <w:rsid w:val="00235872"/>
    <w:rsid w:val="00241559"/>
    <w:rsid w:val="0024170C"/>
    <w:rsid w:val="002435B3"/>
    <w:rsid w:val="002458EB"/>
    <w:rsid w:val="0025000E"/>
    <w:rsid w:val="002500C8"/>
    <w:rsid w:val="00256F69"/>
    <w:rsid w:val="00257543"/>
    <w:rsid w:val="002617E7"/>
    <w:rsid w:val="00264228"/>
    <w:rsid w:val="00264334"/>
    <w:rsid w:val="0026473E"/>
    <w:rsid w:val="00266214"/>
    <w:rsid w:val="00267C83"/>
    <w:rsid w:val="00270D6A"/>
    <w:rsid w:val="0027144F"/>
    <w:rsid w:val="00271813"/>
    <w:rsid w:val="00271F3A"/>
    <w:rsid w:val="00273278"/>
    <w:rsid w:val="002737F4"/>
    <w:rsid w:val="00273A81"/>
    <w:rsid w:val="002805F5"/>
    <w:rsid w:val="00280751"/>
    <w:rsid w:val="0028280A"/>
    <w:rsid w:val="00282AD1"/>
    <w:rsid w:val="00286A97"/>
    <w:rsid w:val="00286ACD"/>
    <w:rsid w:val="00287838"/>
    <w:rsid w:val="002907B5"/>
    <w:rsid w:val="00292EB7"/>
    <w:rsid w:val="00295BC4"/>
    <w:rsid w:val="00296227"/>
    <w:rsid w:val="00296F44"/>
    <w:rsid w:val="002975D1"/>
    <w:rsid w:val="00297696"/>
    <w:rsid w:val="0029777D"/>
    <w:rsid w:val="002A055E"/>
    <w:rsid w:val="002A1D4E"/>
    <w:rsid w:val="002A248E"/>
    <w:rsid w:val="002A2869"/>
    <w:rsid w:val="002A501D"/>
    <w:rsid w:val="002A5CCB"/>
    <w:rsid w:val="002A664B"/>
    <w:rsid w:val="002A7AC9"/>
    <w:rsid w:val="002B2065"/>
    <w:rsid w:val="002B24D6"/>
    <w:rsid w:val="002C2261"/>
    <w:rsid w:val="002C41E6"/>
    <w:rsid w:val="002C74CB"/>
    <w:rsid w:val="002D071A"/>
    <w:rsid w:val="002D0D2B"/>
    <w:rsid w:val="002D169B"/>
    <w:rsid w:val="002D34B2"/>
    <w:rsid w:val="002D48B0"/>
    <w:rsid w:val="002D5B37"/>
    <w:rsid w:val="002D7637"/>
    <w:rsid w:val="002E17F2"/>
    <w:rsid w:val="002E3743"/>
    <w:rsid w:val="002E7CAE"/>
    <w:rsid w:val="002F1AC5"/>
    <w:rsid w:val="002F2771"/>
    <w:rsid w:val="002F37A9"/>
    <w:rsid w:val="00301CE6"/>
    <w:rsid w:val="0030256B"/>
    <w:rsid w:val="0030501F"/>
    <w:rsid w:val="00306DC9"/>
    <w:rsid w:val="00307BA1"/>
    <w:rsid w:val="0031163B"/>
    <w:rsid w:val="00311702"/>
    <w:rsid w:val="00311E82"/>
    <w:rsid w:val="00313FD6"/>
    <w:rsid w:val="003143BD"/>
    <w:rsid w:val="00315363"/>
    <w:rsid w:val="00316007"/>
    <w:rsid w:val="003172F9"/>
    <w:rsid w:val="00317D83"/>
    <w:rsid w:val="0032037C"/>
    <w:rsid w:val="003203ED"/>
    <w:rsid w:val="003205F8"/>
    <w:rsid w:val="00322C9F"/>
    <w:rsid w:val="00324D23"/>
    <w:rsid w:val="003254EE"/>
    <w:rsid w:val="00326151"/>
    <w:rsid w:val="00331751"/>
    <w:rsid w:val="00334579"/>
    <w:rsid w:val="00335858"/>
    <w:rsid w:val="00335977"/>
    <w:rsid w:val="00336BDA"/>
    <w:rsid w:val="003378D6"/>
    <w:rsid w:val="00341B30"/>
    <w:rsid w:val="00342BD7"/>
    <w:rsid w:val="003458BD"/>
    <w:rsid w:val="00346DB5"/>
    <w:rsid w:val="003477B1"/>
    <w:rsid w:val="00350D57"/>
    <w:rsid w:val="00353870"/>
    <w:rsid w:val="00356DB7"/>
    <w:rsid w:val="00356EB5"/>
    <w:rsid w:val="00357380"/>
    <w:rsid w:val="003602D9"/>
    <w:rsid w:val="003604CE"/>
    <w:rsid w:val="00362810"/>
    <w:rsid w:val="00363652"/>
    <w:rsid w:val="00370E47"/>
    <w:rsid w:val="00371680"/>
    <w:rsid w:val="003732D2"/>
    <w:rsid w:val="003742AC"/>
    <w:rsid w:val="00377CE1"/>
    <w:rsid w:val="00380E54"/>
    <w:rsid w:val="00384B5A"/>
    <w:rsid w:val="00385BF0"/>
    <w:rsid w:val="003925BB"/>
    <w:rsid w:val="00392A64"/>
    <w:rsid w:val="003939FF"/>
    <w:rsid w:val="00396DD2"/>
    <w:rsid w:val="003978FE"/>
    <w:rsid w:val="003A2223"/>
    <w:rsid w:val="003A2A0F"/>
    <w:rsid w:val="003A45A1"/>
    <w:rsid w:val="003A5B0A"/>
    <w:rsid w:val="003A6BAC"/>
    <w:rsid w:val="003A70A4"/>
    <w:rsid w:val="003A7EF3"/>
    <w:rsid w:val="003B159C"/>
    <w:rsid w:val="003B170A"/>
    <w:rsid w:val="003B369F"/>
    <w:rsid w:val="003B36A3"/>
    <w:rsid w:val="003B446F"/>
    <w:rsid w:val="003B483B"/>
    <w:rsid w:val="003B554B"/>
    <w:rsid w:val="003B64BB"/>
    <w:rsid w:val="003B7CCA"/>
    <w:rsid w:val="003B7FE5"/>
    <w:rsid w:val="003C11C8"/>
    <w:rsid w:val="003C20FD"/>
    <w:rsid w:val="003C2702"/>
    <w:rsid w:val="003C5873"/>
    <w:rsid w:val="003C6672"/>
    <w:rsid w:val="003C6E66"/>
    <w:rsid w:val="003C7806"/>
    <w:rsid w:val="003D109F"/>
    <w:rsid w:val="003D2478"/>
    <w:rsid w:val="003D3C45"/>
    <w:rsid w:val="003D453E"/>
    <w:rsid w:val="003D5B1F"/>
    <w:rsid w:val="003E15FA"/>
    <w:rsid w:val="003E459D"/>
    <w:rsid w:val="003E55E4"/>
    <w:rsid w:val="003E575E"/>
    <w:rsid w:val="003E65CE"/>
    <w:rsid w:val="003E74E3"/>
    <w:rsid w:val="003E7C5D"/>
    <w:rsid w:val="003F05C7"/>
    <w:rsid w:val="003F2CD4"/>
    <w:rsid w:val="003F4D8F"/>
    <w:rsid w:val="003F6BBE"/>
    <w:rsid w:val="004000E8"/>
    <w:rsid w:val="00400F40"/>
    <w:rsid w:val="00402E2B"/>
    <w:rsid w:val="0040512B"/>
    <w:rsid w:val="00405CA5"/>
    <w:rsid w:val="00407A4E"/>
    <w:rsid w:val="00407CD3"/>
    <w:rsid w:val="00410134"/>
    <w:rsid w:val="00410753"/>
    <w:rsid w:val="00410B72"/>
    <w:rsid w:val="00410F18"/>
    <w:rsid w:val="004110E4"/>
    <w:rsid w:val="00411AE6"/>
    <w:rsid w:val="0041263E"/>
    <w:rsid w:val="00413AAC"/>
    <w:rsid w:val="00413E92"/>
    <w:rsid w:val="00421105"/>
    <w:rsid w:val="00422AA4"/>
    <w:rsid w:val="004242F4"/>
    <w:rsid w:val="004245D5"/>
    <w:rsid w:val="00427248"/>
    <w:rsid w:val="004316F0"/>
    <w:rsid w:val="00431BD2"/>
    <w:rsid w:val="00432ADD"/>
    <w:rsid w:val="00433D58"/>
    <w:rsid w:val="00436390"/>
    <w:rsid w:val="00437062"/>
    <w:rsid w:val="00437447"/>
    <w:rsid w:val="00437E47"/>
    <w:rsid w:val="0044194D"/>
    <w:rsid w:val="00441A92"/>
    <w:rsid w:val="00442B41"/>
    <w:rsid w:val="004431DC"/>
    <w:rsid w:val="00444AD7"/>
    <w:rsid w:val="00444F56"/>
    <w:rsid w:val="00446488"/>
    <w:rsid w:val="004517AA"/>
    <w:rsid w:val="00452CAC"/>
    <w:rsid w:val="0045652E"/>
    <w:rsid w:val="00457565"/>
    <w:rsid w:val="00457B71"/>
    <w:rsid w:val="00463073"/>
    <w:rsid w:val="00465228"/>
    <w:rsid w:val="004669E2"/>
    <w:rsid w:val="00470C31"/>
    <w:rsid w:val="00471DE0"/>
    <w:rsid w:val="004734D0"/>
    <w:rsid w:val="00475477"/>
    <w:rsid w:val="0047556B"/>
    <w:rsid w:val="00477768"/>
    <w:rsid w:val="004807BA"/>
    <w:rsid w:val="00486721"/>
    <w:rsid w:val="00492BC5"/>
    <w:rsid w:val="0049414D"/>
    <w:rsid w:val="004964F1"/>
    <w:rsid w:val="00497BE3"/>
    <w:rsid w:val="004A16BC"/>
    <w:rsid w:val="004A2B94"/>
    <w:rsid w:val="004A5009"/>
    <w:rsid w:val="004A5561"/>
    <w:rsid w:val="004B30C9"/>
    <w:rsid w:val="004B4E8A"/>
    <w:rsid w:val="004B5279"/>
    <w:rsid w:val="004B5396"/>
    <w:rsid w:val="004B5C09"/>
    <w:rsid w:val="004B6F6A"/>
    <w:rsid w:val="004B7C0C"/>
    <w:rsid w:val="004C3898"/>
    <w:rsid w:val="004C5859"/>
    <w:rsid w:val="004C77F7"/>
    <w:rsid w:val="004D36B1"/>
    <w:rsid w:val="004D42A7"/>
    <w:rsid w:val="004D7EBD"/>
    <w:rsid w:val="004E2680"/>
    <w:rsid w:val="004E28F9"/>
    <w:rsid w:val="004E3868"/>
    <w:rsid w:val="004E462E"/>
    <w:rsid w:val="004E56DC"/>
    <w:rsid w:val="004E6518"/>
    <w:rsid w:val="004E7317"/>
    <w:rsid w:val="004E7415"/>
    <w:rsid w:val="004E76F4"/>
    <w:rsid w:val="004F0B4E"/>
    <w:rsid w:val="004F0B6C"/>
    <w:rsid w:val="004F0C4C"/>
    <w:rsid w:val="004F2078"/>
    <w:rsid w:val="004F329B"/>
    <w:rsid w:val="004F33D9"/>
    <w:rsid w:val="004F39E8"/>
    <w:rsid w:val="004F4DA3"/>
    <w:rsid w:val="00500423"/>
    <w:rsid w:val="0050352E"/>
    <w:rsid w:val="00506557"/>
    <w:rsid w:val="0050677A"/>
    <w:rsid w:val="005108D8"/>
    <w:rsid w:val="00511503"/>
    <w:rsid w:val="005116F9"/>
    <w:rsid w:val="00511BBB"/>
    <w:rsid w:val="005153A7"/>
    <w:rsid w:val="00515B03"/>
    <w:rsid w:val="005219CF"/>
    <w:rsid w:val="00522700"/>
    <w:rsid w:val="005240F7"/>
    <w:rsid w:val="00527DED"/>
    <w:rsid w:val="00534B59"/>
    <w:rsid w:val="00536759"/>
    <w:rsid w:val="00537C62"/>
    <w:rsid w:val="005422F6"/>
    <w:rsid w:val="00543732"/>
    <w:rsid w:val="00546970"/>
    <w:rsid w:val="005469B1"/>
    <w:rsid w:val="00554E19"/>
    <w:rsid w:val="00555FE1"/>
    <w:rsid w:val="0056121F"/>
    <w:rsid w:val="00562C0D"/>
    <w:rsid w:val="005640C9"/>
    <w:rsid w:val="00570F84"/>
    <w:rsid w:val="00572505"/>
    <w:rsid w:val="005733EF"/>
    <w:rsid w:val="00574D5A"/>
    <w:rsid w:val="0057608C"/>
    <w:rsid w:val="00580B7F"/>
    <w:rsid w:val="00581DFB"/>
    <w:rsid w:val="00582809"/>
    <w:rsid w:val="00585CCA"/>
    <w:rsid w:val="0058798C"/>
    <w:rsid w:val="005900FA"/>
    <w:rsid w:val="005935A4"/>
    <w:rsid w:val="005948C2"/>
    <w:rsid w:val="00595DCA"/>
    <w:rsid w:val="00597159"/>
    <w:rsid w:val="0059779B"/>
    <w:rsid w:val="005A209A"/>
    <w:rsid w:val="005A5542"/>
    <w:rsid w:val="005A662D"/>
    <w:rsid w:val="005B1409"/>
    <w:rsid w:val="005B30EA"/>
    <w:rsid w:val="005B35D7"/>
    <w:rsid w:val="005B392A"/>
    <w:rsid w:val="005B3AA3"/>
    <w:rsid w:val="005B6F83"/>
    <w:rsid w:val="005C74FB"/>
    <w:rsid w:val="005D1602"/>
    <w:rsid w:val="005D2A57"/>
    <w:rsid w:val="005D3F56"/>
    <w:rsid w:val="005E2E9B"/>
    <w:rsid w:val="005E35FC"/>
    <w:rsid w:val="005E385F"/>
    <w:rsid w:val="005E5B81"/>
    <w:rsid w:val="005E77E4"/>
    <w:rsid w:val="005F2CB1"/>
    <w:rsid w:val="005F3025"/>
    <w:rsid w:val="005F618C"/>
    <w:rsid w:val="005F645F"/>
    <w:rsid w:val="005F70BD"/>
    <w:rsid w:val="005F7ACD"/>
    <w:rsid w:val="00600D71"/>
    <w:rsid w:val="00601B22"/>
    <w:rsid w:val="0060283C"/>
    <w:rsid w:val="00604F14"/>
    <w:rsid w:val="00605F07"/>
    <w:rsid w:val="00611B83"/>
    <w:rsid w:val="006131A1"/>
    <w:rsid w:val="00613257"/>
    <w:rsid w:val="006137BD"/>
    <w:rsid w:val="006160BF"/>
    <w:rsid w:val="00617021"/>
    <w:rsid w:val="00617A9A"/>
    <w:rsid w:val="00620A71"/>
    <w:rsid w:val="00620D80"/>
    <w:rsid w:val="00623290"/>
    <w:rsid w:val="006234A6"/>
    <w:rsid w:val="00630001"/>
    <w:rsid w:val="00630197"/>
    <w:rsid w:val="00630722"/>
    <w:rsid w:val="006311B3"/>
    <w:rsid w:val="0063284C"/>
    <w:rsid w:val="006338EC"/>
    <w:rsid w:val="006341D0"/>
    <w:rsid w:val="00636398"/>
    <w:rsid w:val="006368D3"/>
    <w:rsid w:val="00636F09"/>
    <w:rsid w:val="006377EC"/>
    <w:rsid w:val="00641226"/>
    <w:rsid w:val="0064136D"/>
    <w:rsid w:val="0064151F"/>
    <w:rsid w:val="00641533"/>
    <w:rsid w:val="0064208D"/>
    <w:rsid w:val="00643475"/>
    <w:rsid w:val="0064396A"/>
    <w:rsid w:val="00645CF1"/>
    <w:rsid w:val="0064624E"/>
    <w:rsid w:val="00647AAE"/>
    <w:rsid w:val="00650AB9"/>
    <w:rsid w:val="00650BC5"/>
    <w:rsid w:val="00652BD6"/>
    <w:rsid w:val="00655733"/>
    <w:rsid w:val="00655ACD"/>
    <w:rsid w:val="00656A92"/>
    <w:rsid w:val="00656DDE"/>
    <w:rsid w:val="0066011D"/>
    <w:rsid w:val="006607C0"/>
    <w:rsid w:val="006613A6"/>
    <w:rsid w:val="006616AB"/>
    <w:rsid w:val="006622B8"/>
    <w:rsid w:val="006627A2"/>
    <w:rsid w:val="006634E6"/>
    <w:rsid w:val="00663E0E"/>
    <w:rsid w:val="006655EE"/>
    <w:rsid w:val="00667D4D"/>
    <w:rsid w:val="00667EE7"/>
    <w:rsid w:val="00670922"/>
    <w:rsid w:val="00670BE1"/>
    <w:rsid w:val="0067218F"/>
    <w:rsid w:val="006741F2"/>
    <w:rsid w:val="00674CC3"/>
    <w:rsid w:val="0067575F"/>
    <w:rsid w:val="00675C72"/>
    <w:rsid w:val="006771F9"/>
    <w:rsid w:val="006776D7"/>
    <w:rsid w:val="00681003"/>
    <w:rsid w:val="006817C9"/>
    <w:rsid w:val="00683ECE"/>
    <w:rsid w:val="00684490"/>
    <w:rsid w:val="00690F48"/>
    <w:rsid w:val="00695FC2"/>
    <w:rsid w:val="00696949"/>
    <w:rsid w:val="00697052"/>
    <w:rsid w:val="00697650"/>
    <w:rsid w:val="006A0C3F"/>
    <w:rsid w:val="006A1778"/>
    <w:rsid w:val="006A1EB1"/>
    <w:rsid w:val="006A46FB"/>
    <w:rsid w:val="006A5E28"/>
    <w:rsid w:val="006A6237"/>
    <w:rsid w:val="006A697B"/>
    <w:rsid w:val="006A70F2"/>
    <w:rsid w:val="006A7AFF"/>
    <w:rsid w:val="006B1816"/>
    <w:rsid w:val="006B2099"/>
    <w:rsid w:val="006B50CF"/>
    <w:rsid w:val="006C03B8"/>
    <w:rsid w:val="006C35A6"/>
    <w:rsid w:val="006C3C7B"/>
    <w:rsid w:val="006C5EC9"/>
    <w:rsid w:val="006C5F1D"/>
    <w:rsid w:val="006C6059"/>
    <w:rsid w:val="006C7522"/>
    <w:rsid w:val="006D26C1"/>
    <w:rsid w:val="006D6F08"/>
    <w:rsid w:val="006D74D6"/>
    <w:rsid w:val="006E062C"/>
    <w:rsid w:val="006E105A"/>
    <w:rsid w:val="006E1C82"/>
    <w:rsid w:val="006E28B7"/>
    <w:rsid w:val="006E2A9B"/>
    <w:rsid w:val="006E2E92"/>
    <w:rsid w:val="006E3310"/>
    <w:rsid w:val="006E3852"/>
    <w:rsid w:val="006E3AC2"/>
    <w:rsid w:val="006E4E39"/>
    <w:rsid w:val="006E565E"/>
    <w:rsid w:val="006E61BD"/>
    <w:rsid w:val="006E673D"/>
    <w:rsid w:val="006E7D3B"/>
    <w:rsid w:val="006F1B70"/>
    <w:rsid w:val="006F341D"/>
    <w:rsid w:val="006F3CDE"/>
    <w:rsid w:val="006F51BF"/>
    <w:rsid w:val="006F58D4"/>
    <w:rsid w:val="006F6582"/>
    <w:rsid w:val="006F6E19"/>
    <w:rsid w:val="006F7FBD"/>
    <w:rsid w:val="00701ED2"/>
    <w:rsid w:val="007021D0"/>
    <w:rsid w:val="0070346E"/>
    <w:rsid w:val="00704458"/>
    <w:rsid w:val="00704EDB"/>
    <w:rsid w:val="00706101"/>
    <w:rsid w:val="00706C3F"/>
    <w:rsid w:val="00707072"/>
    <w:rsid w:val="007079B4"/>
    <w:rsid w:val="00707D61"/>
    <w:rsid w:val="007113DE"/>
    <w:rsid w:val="007118C0"/>
    <w:rsid w:val="00711C5D"/>
    <w:rsid w:val="00712287"/>
    <w:rsid w:val="00712772"/>
    <w:rsid w:val="007148D3"/>
    <w:rsid w:val="00715B9A"/>
    <w:rsid w:val="0071691D"/>
    <w:rsid w:val="00721AD8"/>
    <w:rsid w:val="0072346B"/>
    <w:rsid w:val="007257D0"/>
    <w:rsid w:val="00726EA6"/>
    <w:rsid w:val="00727208"/>
    <w:rsid w:val="00727680"/>
    <w:rsid w:val="0073391D"/>
    <w:rsid w:val="007348B1"/>
    <w:rsid w:val="00734AAB"/>
    <w:rsid w:val="00735554"/>
    <w:rsid w:val="007362A6"/>
    <w:rsid w:val="00736D7D"/>
    <w:rsid w:val="00740E58"/>
    <w:rsid w:val="007445A0"/>
    <w:rsid w:val="0074524B"/>
    <w:rsid w:val="00747D8B"/>
    <w:rsid w:val="00750861"/>
    <w:rsid w:val="00751228"/>
    <w:rsid w:val="007528F7"/>
    <w:rsid w:val="00753005"/>
    <w:rsid w:val="007571E1"/>
    <w:rsid w:val="00757A16"/>
    <w:rsid w:val="00757E64"/>
    <w:rsid w:val="007604B2"/>
    <w:rsid w:val="00761CF8"/>
    <w:rsid w:val="00764620"/>
    <w:rsid w:val="00765281"/>
    <w:rsid w:val="00765349"/>
    <w:rsid w:val="00766BAD"/>
    <w:rsid w:val="00767AB4"/>
    <w:rsid w:val="00770C15"/>
    <w:rsid w:val="007729A2"/>
    <w:rsid w:val="007740F3"/>
    <w:rsid w:val="00774DC9"/>
    <w:rsid w:val="007755F2"/>
    <w:rsid w:val="00776971"/>
    <w:rsid w:val="00780A80"/>
    <w:rsid w:val="00781729"/>
    <w:rsid w:val="0078177E"/>
    <w:rsid w:val="0078304C"/>
    <w:rsid w:val="00783673"/>
    <w:rsid w:val="0078497B"/>
    <w:rsid w:val="00784C75"/>
    <w:rsid w:val="007853A5"/>
    <w:rsid w:val="00785490"/>
    <w:rsid w:val="00785C8F"/>
    <w:rsid w:val="00786948"/>
    <w:rsid w:val="00787B4A"/>
    <w:rsid w:val="00790F5C"/>
    <w:rsid w:val="00791415"/>
    <w:rsid w:val="007925EA"/>
    <w:rsid w:val="00793980"/>
    <w:rsid w:val="00793CD8"/>
    <w:rsid w:val="00795C92"/>
    <w:rsid w:val="00796231"/>
    <w:rsid w:val="007A1CB3"/>
    <w:rsid w:val="007A306F"/>
    <w:rsid w:val="007A43A6"/>
    <w:rsid w:val="007A58A6"/>
    <w:rsid w:val="007A6A39"/>
    <w:rsid w:val="007B0091"/>
    <w:rsid w:val="007B21C5"/>
    <w:rsid w:val="007B3D2D"/>
    <w:rsid w:val="007B50AE"/>
    <w:rsid w:val="007B51DF"/>
    <w:rsid w:val="007C05DD"/>
    <w:rsid w:val="007C2FD3"/>
    <w:rsid w:val="007C3D18"/>
    <w:rsid w:val="007C5712"/>
    <w:rsid w:val="007C60BF"/>
    <w:rsid w:val="007C6A07"/>
    <w:rsid w:val="007C75A1"/>
    <w:rsid w:val="007C77A5"/>
    <w:rsid w:val="007D04E5"/>
    <w:rsid w:val="007D1D7E"/>
    <w:rsid w:val="007D43F7"/>
    <w:rsid w:val="007D5901"/>
    <w:rsid w:val="007D604D"/>
    <w:rsid w:val="007D7526"/>
    <w:rsid w:val="007D7629"/>
    <w:rsid w:val="007D7E01"/>
    <w:rsid w:val="007E4610"/>
    <w:rsid w:val="007E4715"/>
    <w:rsid w:val="007E505B"/>
    <w:rsid w:val="007E7091"/>
    <w:rsid w:val="007F0AAA"/>
    <w:rsid w:val="007F186E"/>
    <w:rsid w:val="007F7D8F"/>
    <w:rsid w:val="00800DCB"/>
    <w:rsid w:val="00801F31"/>
    <w:rsid w:val="00803D63"/>
    <w:rsid w:val="00803FAE"/>
    <w:rsid w:val="0080605F"/>
    <w:rsid w:val="00807786"/>
    <w:rsid w:val="00811FCB"/>
    <w:rsid w:val="0081319F"/>
    <w:rsid w:val="008158D6"/>
    <w:rsid w:val="00817196"/>
    <w:rsid w:val="00821B88"/>
    <w:rsid w:val="008235DB"/>
    <w:rsid w:val="00824AB4"/>
    <w:rsid w:val="00825C42"/>
    <w:rsid w:val="00825D25"/>
    <w:rsid w:val="00826C10"/>
    <w:rsid w:val="00827D6F"/>
    <w:rsid w:val="008329A0"/>
    <w:rsid w:val="008338F0"/>
    <w:rsid w:val="00833EAD"/>
    <w:rsid w:val="008376AC"/>
    <w:rsid w:val="008376F8"/>
    <w:rsid w:val="00840992"/>
    <w:rsid w:val="00840B29"/>
    <w:rsid w:val="008444E8"/>
    <w:rsid w:val="00844D40"/>
    <w:rsid w:val="00844E80"/>
    <w:rsid w:val="00845ADE"/>
    <w:rsid w:val="00845FE7"/>
    <w:rsid w:val="00846FE7"/>
    <w:rsid w:val="00850550"/>
    <w:rsid w:val="00851C22"/>
    <w:rsid w:val="00856911"/>
    <w:rsid w:val="008611B8"/>
    <w:rsid w:val="00861A14"/>
    <w:rsid w:val="0086438E"/>
    <w:rsid w:val="00865CE3"/>
    <w:rsid w:val="008677FD"/>
    <w:rsid w:val="008706D4"/>
    <w:rsid w:val="00870C16"/>
    <w:rsid w:val="00870F8A"/>
    <w:rsid w:val="008719A4"/>
    <w:rsid w:val="00871D23"/>
    <w:rsid w:val="00873D32"/>
    <w:rsid w:val="00874312"/>
    <w:rsid w:val="0087437C"/>
    <w:rsid w:val="00875CD7"/>
    <w:rsid w:val="0087681F"/>
    <w:rsid w:val="00876B4D"/>
    <w:rsid w:val="00877F18"/>
    <w:rsid w:val="008813DE"/>
    <w:rsid w:val="008834FB"/>
    <w:rsid w:val="0089259A"/>
    <w:rsid w:val="008935F6"/>
    <w:rsid w:val="008941E3"/>
    <w:rsid w:val="00894A88"/>
    <w:rsid w:val="00895386"/>
    <w:rsid w:val="008A21FF"/>
    <w:rsid w:val="008A28F8"/>
    <w:rsid w:val="008A2C2E"/>
    <w:rsid w:val="008A2CE2"/>
    <w:rsid w:val="008A30AC"/>
    <w:rsid w:val="008A3F7E"/>
    <w:rsid w:val="008A44B8"/>
    <w:rsid w:val="008A51A8"/>
    <w:rsid w:val="008A54C7"/>
    <w:rsid w:val="008A77D8"/>
    <w:rsid w:val="008B0483"/>
    <w:rsid w:val="008B120C"/>
    <w:rsid w:val="008B3ADC"/>
    <w:rsid w:val="008B51A0"/>
    <w:rsid w:val="008B592A"/>
    <w:rsid w:val="008B7B5C"/>
    <w:rsid w:val="008B7C18"/>
    <w:rsid w:val="008C0C99"/>
    <w:rsid w:val="008C2017"/>
    <w:rsid w:val="008C428A"/>
    <w:rsid w:val="008C4958"/>
    <w:rsid w:val="008C4BAA"/>
    <w:rsid w:val="008C6AA0"/>
    <w:rsid w:val="008C6AE8"/>
    <w:rsid w:val="008C7573"/>
    <w:rsid w:val="008D00A5"/>
    <w:rsid w:val="008D1FC7"/>
    <w:rsid w:val="008D34F1"/>
    <w:rsid w:val="008D39D8"/>
    <w:rsid w:val="008D6D1A"/>
    <w:rsid w:val="008E065E"/>
    <w:rsid w:val="008E0927"/>
    <w:rsid w:val="008E1909"/>
    <w:rsid w:val="008E6B2B"/>
    <w:rsid w:val="008F1EAB"/>
    <w:rsid w:val="008F33DC"/>
    <w:rsid w:val="008F3614"/>
    <w:rsid w:val="008F477F"/>
    <w:rsid w:val="00901CF9"/>
    <w:rsid w:val="00902350"/>
    <w:rsid w:val="00902E4A"/>
    <w:rsid w:val="0090336B"/>
    <w:rsid w:val="009053AA"/>
    <w:rsid w:val="00906939"/>
    <w:rsid w:val="00906C6E"/>
    <w:rsid w:val="00910B7D"/>
    <w:rsid w:val="00911DFB"/>
    <w:rsid w:val="009139D9"/>
    <w:rsid w:val="00914AD8"/>
    <w:rsid w:val="00916079"/>
    <w:rsid w:val="00916BD2"/>
    <w:rsid w:val="009170BA"/>
    <w:rsid w:val="00917CE9"/>
    <w:rsid w:val="00920BF2"/>
    <w:rsid w:val="00922010"/>
    <w:rsid w:val="009255B4"/>
    <w:rsid w:val="00927DC9"/>
    <w:rsid w:val="00931BD9"/>
    <w:rsid w:val="009368F3"/>
    <w:rsid w:val="00941636"/>
    <w:rsid w:val="00941EED"/>
    <w:rsid w:val="009420E5"/>
    <w:rsid w:val="00943742"/>
    <w:rsid w:val="009452B8"/>
    <w:rsid w:val="00945C05"/>
    <w:rsid w:val="00946945"/>
    <w:rsid w:val="009469C5"/>
    <w:rsid w:val="009475C9"/>
    <w:rsid w:val="00947713"/>
    <w:rsid w:val="00950DE7"/>
    <w:rsid w:val="00953920"/>
    <w:rsid w:val="00953D47"/>
    <w:rsid w:val="0095681E"/>
    <w:rsid w:val="009572D4"/>
    <w:rsid w:val="00961921"/>
    <w:rsid w:val="0096430A"/>
    <w:rsid w:val="0096466F"/>
    <w:rsid w:val="0096554B"/>
    <w:rsid w:val="0096584A"/>
    <w:rsid w:val="00966D47"/>
    <w:rsid w:val="00971F08"/>
    <w:rsid w:val="00974A31"/>
    <w:rsid w:val="0097603D"/>
    <w:rsid w:val="00976949"/>
    <w:rsid w:val="0097780F"/>
    <w:rsid w:val="00980477"/>
    <w:rsid w:val="009805B3"/>
    <w:rsid w:val="00985253"/>
    <w:rsid w:val="009853B3"/>
    <w:rsid w:val="009861EB"/>
    <w:rsid w:val="00986806"/>
    <w:rsid w:val="009879B4"/>
    <w:rsid w:val="00990630"/>
    <w:rsid w:val="00991761"/>
    <w:rsid w:val="00993F21"/>
    <w:rsid w:val="00994DCA"/>
    <w:rsid w:val="009960EC"/>
    <w:rsid w:val="009970DD"/>
    <w:rsid w:val="00997A78"/>
    <w:rsid w:val="009A0FBA"/>
    <w:rsid w:val="009A1601"/>
    <w:rsid w:val="009A24A2"/>
    <w:rsid w:val="009A3BB6"/>
    <w:rsid w:val="009A462D"/>
    <w:rsid w:val="009A5CBA"/>
    <w:rsid w:val="009A62EB"/>
    <w:rsid w:val="009B1F30"/>
    <w:rsid w:val="009B27E4"/>
    <w:rsid w:val="009B3AC2"/>
    <w:rsid w:val="009B4DF4"/>
    <w:rsid w:val="009B564E"/>
    <w:rsid w:val="009B58E5"/>
    <w:rsid w:val="009B650C"/>
    <w:rsid w:val="009B7E87"/>
    <w:rsid w:val="009C0169"/>
    <w:rsid w:val="009C39EC"/>
    <w:rsid w:val="009C403E"/>
    <w:rsid w:val="009C5D3B"/>
    <w:rsid w:val="009D44AC"/>
    <w:rsid w:val="009D4FF0"/>
    <w:rsid w:val="009D6B6D"/>
    <w:rsid w:val="009D6F6E"/>
    <w:rsid w:val="009D703C"/>
    <w:rsid w:val="009D718F"/>
    <w:rsid w:val="009E068F"/>
    <w:rsid w:val="009E14E0"/>
    <w:rsid w:val="009E35DB"/>
    <w:rsid w:val="009E47A3"/>
    <w:rsid w:val="009F08F3"/>
    <w:rsid w:val="009F344F"/>
    <w:rsid w:val="009F3647"/>
    <w:rsid w:val="009F470F"/>
    <w:rsid w:val="009F63D5"/>
    <w:rsid w:val="009F6654"/>
    <w:rsid w:val="00A031D8"/>
    <w:rsid w:val="00A03A9E"/>
    <w:rsid w:val="00A048A8"/>
    <w:rsid w:val="00A04F49"/>
    <w:rsid w:val="00A06023"/>
    <w:rsid w:val="00A063F2"/>
    <w:rsid w:val="00A13E54"/>
    <w:rsid w:val="00A14B99"/>
    <w:rsid w:val="00A17F63"/>
    <w:rsid w:val="00A2193B"/>
    <w:rsid w:val="00A21CDB"/>
    <w:rsid w:val="00A2351A"/>
    <w:rsid w:val="00A23ACE"/>
    <w:rsid w:val="00A2561F"/>
    <w:rsid w:val="00A264A9"/>
    <w:rsid w:val="00A26DCF"/>
    <w:rsid w:val="00A27785"/>
    <w:rsid w:val="00A30187"/>
    <w:rsid w:val="00A30F1D"/>
    <w:rsid w:val="00A31D67"/>
    <w:rsid w:val="00A321D1"/>
    <w:rsid w:val="00A3448A"/>
    <w:rsid w:val="00A36297"/>
    <w:rsid w:val="00A36973"/>
    <w:rsid w:val="00A40ED7"/>
    <w:rsid w:val="00A41E2B"/>
    <w:rsid w:val="00A41F72"/>
    <w:rsid w:val="00A45B74"/>
    <w:rsid w:val="00A4700F"/>
    <w:rsid w:val="00A50966"/>
    <w:rsid w:val="00A52E04"/>
    <w:rsid w:val="00A52E1D"/>
    <w:rsid w:val="00A52E58"/>
    <w:rsid w:val="00A54F3D"/>
    <w:rsid w:val="00A612A4"/>
    <w:rsid w:val="00A61499"/>
    <w:rsid w:val="00A627C2"/>
    <w:rsid w:val="00A62A77"/>
    <w:rsid w:val="00A63483"/>
    <w:rsid w:val="00A657D7"/>
    <w:rsid w:val="00A66001"/>
    <w:rsid w:val="00A660AC"/>
    <w:rsid w:val="00A6779D"/>
    <w:rsid w:val="00A67E6C"/>
    <w:rsid w:val="00A71B99"/>
    <w:rsid w:val="00A73347"/>
    <w:rsid w:val="00A739D0"/>
    <w:rsid w:val="00A74FAC"/>
    <w:rsid w:val="00A761D4"/>
    <w:rsid w:val="00A77EC4"/>
    <w:rsid w:val="00A77FAC"/>
    <w:rsid w:val="00A85FF2"/>
    <w:rsid w:val="00A8760C"/>
    <w:rsid w:val="00A917F0"/>
    <w:rsid w:val="00A92879"/>
    <w:rsid w:val="00A9442A"/>
    <w:rsid w:val="00A94876"/>
    <w:rsid w:val="00AA016F"/>
    <w:rsid w:val="00AA1ED6"/>
    <w:rsid w:val="00AA51D6"/>
    <w:rsid w:val="00AB0BC8"/>
    <w:rsid w:val="00AB11CA"/>
    <w:rsid w:val="00AB14D9"/>
    <w:rsid w:val="00AB3AF9"/>
    <w:rsid w:val="00AB4AB8"/>
    <w:rsid w:val="00AB655E"/>
    <w:rsid w:val="00AC007F"/>
    <w:rsid w:val="00AC0D28"/>
    <w:rsid w:val="00AC2ECD"/>
    <w:rsid w:val="00AC3119"/>
    <w:rsid w:val="00AC49FB"/>
    <w:rsid w:val="00AC5A10"/>
    <w:rsid w:val="00AC7FE6"/>
    <w:rsid w:val="00AD0AA3"/>
    <w:rsid w:val="00AD3F94"/>
    <w:rsid w:val="00AD4A5A"/>
    <w:rsid w:val="00AD7AC2"/>
    <w:rsid w:val="00AE27AC"/>
    <w:rsid w:val="00AE40E0"/>
    <w:rsid w:val="00AE4DBA"/>
    <w:rsid w:val="00AE4F07"/>
    <w:rsid w:val="00AE5F98"/>
    <w:rsid w:val="00AE72A5"/>
    <w:rsid w:val="00AF1C5D"/>
    <w:rsid w:val="00AF2006"/>
    <w:rsid w:val="00AF30BA"/>
    <w:rsid w:val="00AF42D7"/>
    <w:rsid w:val="00AF48E6"/>
    <w:rsid w:val="00B006FE"/>
    <w:rsid w:val="00B007CB"/>
    <w:rsid w:val="00B02AA9"/>
    <w:rsid w:val="00B02FA3"/>
    <w:rsid w:val="00B05084"/>
    <w:rsid w:val="00B062D4"/>
    <w:rsid w:val="00B11AE2"/>
    <w:rsid w:val="00B154F4"/>
    <w:rsid w:val="00B157F9"/>
    <w:rsid w:val="00B16BE6"/>
    <w:rsid w:val="00B17127"/>
    <w:rsid w:val="00B20256"/>
    <w:rsid w:val="00B20D09"/>
    <w:rsid w:val="00B236A5"/>
    <w:rsid w:val="00B25AAA"/>
    <w:rsid w:val="00B26C2D"/>
    <w:rsid w:val="00B2763F"/>
    <w:rsid w:val="00B27AAC"/>
    <w:rsid w:val="00B27C48"/>
    <w:rsid w:val="00B30929"/>
    <w:rsid w:val="00B31CE7"/>
    <w:rsid w:val="00B32F96"/>
    <w:rsid w:val="00B372AA"/>
    <w:rsid w:val="00B40445"/>
    <w:rsid w:val="00B409E0"/>
    <w:rsid w:val="00B41888"/>
    <w:rsid w:val="00B45428"/>
    <w:rsid w:val="00B45A52"/>
    <w:rsid w:val="00B46175"/>
    <w:rsid w:val="00B53006"/>
    <w:rsid w:val="00B5355C"/>
    <w:rsid w:val="00B548B7"/>
    <w:rsid w:val="00B57087"/>
    <w:rsid w:val="00B62160"/>
    <w:rsid w:val="00B657D4"/>
    <w:rsid w:val="00B664C7"/>
    <w:rsid w:val="00B7134C"/>
    <w:rsid w:val="00B73429"/>
    <w:rsid w:val="00B739F6"/>
    <w:rsid w:val="00B73CD3"/>
    <w:rsid w:val="00B747E1"/>
    <w:rsid w:val="00B7703F"/>
    <w:rsid w:val="00B7771D"/>
    <w:rsid w:val="00B81A6C"/>
    <w:rsid w:val="00B82E55"/>
    <w:rsid w:val="00B8318F"/>
    <w:rsid w:val="00B85DE5"/>
    <w:rsid w:val="00B90F73"/>
    <w:rsid w:val="00B93417"/>
    <w:rsid w:val="00B93B59"/>
    <w:rsid w:val="00B9406A"/>
    <w:rsid w:val="00B9658D"/>
    <w:rsid w:val="00BA2280"/>
    <w:rsid w:val="00BA2A08"/>
    <w:rsid w:val="00BA501B"/>
    <w:rsid w:val="00BA56D2"/>
    <w:rsid w:val="00BA76E0"/>
    <w:rsid w:val="00BB0489"/>
    <w:rsid w:val="00BB1D9B"/>
    <w:rsid w:val="00BB2A25"/>
    <w:rsid w:val="00BB409A"/>
    <w:rsid w:val="00BB51E9"/>
    <w:rsid w:val="00BB5DD7"/>
    <w:rsid w:val="00BC008B"/>
    <w:rsid w:val="00BC0F31"/>
    <w:rsid w:val="00BC0FDC"/>
    <w:rsid w:val="00BC1799"/>
    <w:rsid w:val="00BC3053"/>
    <w:rsid w:val="00BC4D2E"/>
    <w:rsid w:val="00BC6931"/>
    <w:rsid w:val="00BD004F"/>
    <w:rsid w:val="00BD1A35"/>
    <w:rsid w:val="00BD28CD"/>
    <w:rsid w:val="00BD30A8"/>
    <w:rsid w:val="00BD48AC"/>
    <w:rsid w:val="00BD5F1A"/>
    <w:rsid w:val="00BD638A"/>
    <w:rsid w:val="00BD6540"/>
    <w:rsid w:val="00BE1234"/>
    <w:rsid w:val="00BE2FA6"/>
    <w:rsid w:val="00BE333F"/>
    <w:rsid w:val="00BE4190"/>
    <w:rsid w:val="00BE6012"/>
    <w:rsid w:val="00BE7406"/>
    <w:rsid w:val="00BE7603"/>
    <w:rsid w:val="00BF3279"/>
    <w:rsid w:val="00BF3EC3"/>
    <w:rsid w:val="00BF6CA9"/>
    <w:rsid w:val="00BF74C7"/>
    <w:rsid w:val="00BF75E0"/>
    <w:rsid w:val="00C00B65"/>
    <w:rsid w:val="00C015F1"/>
    <w:rsid w:val="00C01F33"/>
    <w:rsid w:val="00C02CC6"/>
    <w:rsid w:val="00C02FB2"/>
    <w:rsid w:val="00C040F7"/>
    <w:rsid w:val="00C044AB"/>
    <w:rsid w:val="00C051F0"/>
    <w:rsid w:val="00C05706"/>
    <w:rsid w:val="00C07377"/>
    <w:rsid w:val="00C10478"/>
    <w:rsid w:val="00C10965"/>
    <w:rsid w:val="00C10BB0"/>
    <w:rsid w:val="00C12107"/>
    <w:rsid w:val="00C14D4B"/>
    <w:rsid w:val="00C154BB"/>
    <w:rsid w:val="00C15EBC"/>
    <w:rsid w:val="00C24943"/>
    <w:rsid w:val="00C268E6"/>
    <w:rsid w:val="00C279B5"/>
    <w:rsid w:val="00C27C45"/>
    <w:rsid w:val="00C31FE1"/>
    <w:rsid w:val="00C32767"/>
    <w:rsid w:val="00C32E45"/>
    <w:rsid w:val="00C354D0"/>
    <w:rsid w:val="00C3719D"/>
    <w:rsid w:val="00C372A5"/>
    <w:rsid w:val="00C3794F"/>
    <w:rsid w:val="00C37CB2"/>
    <w:rsid w:val="00C473A5"/>
    <w:rsid w:val="00C54995"/>
    <w:rsid w:val="00C54D41"/>
    <w:rsid w:val="00C55673"/>
    <w:rsid w:val="00C56181"/>
    <w:rsid w:val="00C60783"/>
    <w:rsid w:val="00C645C7"/>
    <w:rsid w:val="00C64672"/>
    <w:rsid w:val="00C70697"/>
    <w:rsid w:val="00C70A78"/>
    <w:rsid w:val="00C72093"/>
    <w:rsid w:val="00C727CA"/>
    <w:rsid w:val="00C72EF4"/>
    <w:rsid w:val="00C744FE"/>
    <w:rsid w:val="00C751A2"/>
    <w:rsid w:val="00C75D2F"/>
    <w:rsid w:val="00C767BE"/>
    <w:rsid w:val="00C76E3C"/>
    <w:rsid w:val="00C81568"/>
    <w:rsid w:val="00C86CC2"/>
    <w:rsid w:val="00C9027A"/>
    <w:rsid w:val="00C9068E"/>
    <w:rsid w:val="00C92FBD"/>
    <w:rsid w:val="00C93814"/>
    <w:rsid w:val="00C93C4B"/>
    <w:rsid w:val="00C9444E"/>
    <w:rsid w:val="00C944AB"/>
    <w:rsid w:val="00C9582A"/>
    <w:rsid w:val="00C95B40"/>
    <w:rsid w:val="00CA0B32"/>
    <w:rsid w:val="00CA102F"/>
    <w:rsid w:val="00CA1ED8"/>
    <w:rsid w:val="00CA5D4C"/>
    <w:rsid w:val="00CA62C9"/>
    <w:rsid w:val="00CB1F63"/>
    <w:rsid w:val="00CB472F"/>
    <w:rsid w:val="00CB524A"/>
    <w:rsid w:val="00CB7170"/>
    <w:rsid w:val="00CC040E"/>
    <w:rsid w:val="00CC111F"/>
    <w:rsid w:val="00CC2011"/>
    <w:rsid w:val="00CC3553"/>
    <w:rsid w:val="00CC3EA0"/>
    <w:rsid w:val="00CC586F"/>
    <w:rsid w:val="00CC7B45"/>
    <w:rsid w:val="00CD0442"/>
    <w:rsid w:val="00CD0BA4"/>
    <w:rsid w:val="00CD1188"/>
    <w:rsid w:val="00CD12C5"/>
    <w:rsid w:val="00CD2ED1"/>
    <w:rsid w:val="00CD31E7"/>
    <w:rsid w:val="00CD337B"/>
    <w:rsid w:val="00CD56C9"/>
    <w:rsid w:val="00CE012C"/>
    <w:rsid w:val="00CE0424"/>
    <w:rsid w:val="00CE7561"/>
    <w:rsid w:val="00CF1354"/>
    <w:rsid w:val="00CF3B1F"/>
    <w:rsid w:val="00CF3BF6"/>
    <w:rsid w:val="00CF5EB0"/>
    <w:rsid w:val="00CF625B"/>
    <w:rsid w:val="00CF687E"/>
    <w:rsid w:val="00CF71EA"/>
    <w:rsid w:val="00D02A47"/>
    <w:rsid w:val="00D0349B"/>
    <w:rsid w:val="00D10249"/>
    <w:rsid w:val="00D1146B"/>
    <w:rsid w:val="00D115C3"/>
    <w:rsid w:val="00D11600"/>
    <w:rsid w:val="00D11897"/>
    <w:rsid w:val="00D13135"/>
    <w:rsid w:val="00D13E4E"/>
    <w:rsid w:val="00D147E7"/>
    <w:rsid w:val="00D239A7"/>
    <w:rsid w:val="00D23F47"/>
    <w:rsid w:val="00D24E0B"/>
    <w:rsid w:val="00D263CC"/>
    <w:rsid w:val="00D26B4D"/>
    <w:rsid w:val="00D30975"/>
    <w:rsid w:val="00D30A41"/>
    <w:rsid w:val="00D32922"/>
    <w:rsid w:val="00D33DD3"/>
    <w:rsid w:val="00D36E71"/>
    <w:rsid w:val="00D37D87"/>
    <w:rsid w:val="00D40B33"/>
    <w:rsid w:val="00D4164A"/>
    <w:rsid w:val="00D42DD7"/>
    <w:rsid w:val="00D4318F"/>
    <w:rsid w:val="00D438BF"/>
    <w:rsid w:val="00D440F8"/>
    <w:rsid w:val="00D50047"/>
    <w:rsid w:val="00D546FF"/>
    <w:rsid w:val="00D55AD5"/>
    <w:rsid w:val="00D576CA"/>
    <w:rsid w:val="00D61AF5"/>
    <w:rsid w:val="00D61C9C"/>
    <w:rsid w:val="00D62BCC"/>
    <w:rsid w:val="00D652B5"/>
    <w:rsid w:val="00D66155"/>
    <w:rsid w:val="00D669DE"/>
    <w:rsid w:val="00D6765A"/>
    <w:rsid w:val="00D708B0"/>
    <w:rsid w:val="00D71AC5"/>
    <w:rsid w:val="00D77B1D"/>
    <w:rsid w:val="00D8021F"/>
    <w:rsid w:val="00D80383"/>
    <w:rsid w:val="00D8151A"/>
    <w:rsid w:val="00D823C6"/>
    <w:rsid w:val="00D8327F"/>
    <w:rsid w:val="00D8497E"/>
    <w:rsid w:val="00D865F9"/>
    <w:rsid w:val="00D86CA3"/>
    <w:rsid w:val="00D871CE"/>
    <w:rsid w:val="00D872E6"/>
    <w:rsid w:val="00D9127B"/>
    <w:rsid w:val="00D9196D"/>
    <w:rsid w:val="00D92982"/>
    <w:rsid w:val="00D9310F"/>
    <w:rsid w:val="00DA305E"/>
    <w:rsid w:val="00DA5417"/>
    <w:rsid w:val="00DA56E8"/>
    <w:rsid w:val="00DB0A9F"/>
    <w:rsid w:val="00DB377D"/>
    <w:rsid w:val="00DB4499"/>
    <w:rsid w:val="00DC14FD"/>
    <w:rsid w:val="00DC2D36"/>
    <w:rsid w:val="00DC53EF"/>
    <w:rsid w:val="00DC59C2"/>
    <w:rsid w:val="00DC7ABB"/>
    <w:rsid w:val="00DD4491"/>
    <w:rsid w:val="00DD75E9"/>
    <w:rsid w:val="00DE5608"/>
    <w:rsid w:val="00DE58D0"/>
    <w:rsid w:val="00DE654F"/>
    <w:rsid w:val="00DE79A4"/>
    <w:rsid w:val="00DF00C8"/>
    <w:rsid w:val="00DF0B6E"/>
    <w:rsid w:val="00DF0D9C"/>
    <w:rsid w:val="00DF15E0"/>
    <w:rsid w:val="00DF2613"/>
    <w:rsid w:val="00DF37A0"/>
    <w:rsid w:val="00DF6820"/>
    <w:rsid w:val="00E053B4"/>
    <w:rsid w:val="00E10130"/>
    <w:rsid w:val="00E110E7"/>
    <w:rsid w:val="00E11B20"/>
    <w:rsid w:val="00E17FA2"/>
    <w:rsid w:val="00E203C0"/>
    <w:rsid w:val="00E2163A"/>
    <w:rsid w:val="00E21EBA"/>
    <w:rsid w:val="00E22330"/>
    <w:rsid w:val="00E30B5A"/>
    <w:rsid w:val="00E31205"/>
    <w:rsid w:val="00E3123D"/>
    <w:rsid w:val="00E31461"/>
    <w:rsid w:val="00E31D43"/>
    <w:rsid w:val="00E3253C"/>
    <w:rsid w:val="00E32608"/>
    <w:rsid w:val="00E32D01"/>
    <w:rsid w:val="00E34188"/>
    <w:rsid w:val="00E34B6E"/>
    <w:rsid w:val="00E35559"/>
    <w:rsid w:val="00E3723A"/>
    <w:rsid w:val="00E37860"/>
    <w:rsid w:val="00E42842"/>
    <w:rsid w:val="00E446F1"/>
    <w:rsid w:val="00E457FE"/>
    <w:rsid w:val="00E46886"/>
    <w:rsid w:val="00E47AEF"/>
    <w:rsid w:val="00E47CE9"/>
    <w:rsid w:val="00E53B75"/>
    <w:rsid w:val="00E53E07"/>
    <w:rsid w:val="00E54E3B"/>
    <w:rsid w:val="00E57565"/>
    <w:rsid w:val="00E628C8"/>
    <w:rsid w:val="00E63838"/>
    <w:rsid w:val="00E64434"/>
    <w:rsid w:val="00E6587F"/>
    <w:rsid w:val="00E67C51"/>
    <w:rsid w:val="00E72C6C"/>
    <w:rsid w:val="00E72EFC"/>
    <w:rsid w:val="00E73585"/>
    <w:rsid w:val="00E74778"/>
    <w:rsid w:val="00E758EC"/>
    <w:rsid w:val="00E81590"/>
    <w:rsid w:val="00E8234C"/>
    <w:rsid w:val="00E83AA9"/>
    <w:rsid w:val="00E85679"/>
    <w:rsid w:val="00E85928"/>
    <w:rsid w:val="00E87822"/>
    <w:rsid w:val="00E90395"/>
    <w:rsid w:val="00E90E49"/>
    <w:rsid w:val="00E917F9"/>
    <w:rsid w:val="00E92431"/>
    <w:rsid w:val="00E9291C"/>
    <w:rsid w:val="00E93FFE"/>
    <w:rsid w:val="00E94F8A"/>
    <w:rsid w:val="00E966E3"/>
    <w:rsid w:val="00E97AA7"/>
    <w:rsid w:val="00E97B3E"/>
    <w:rsid w:val="00EA261A"/>
    <w:rsid w:val="00EA30D8"/>
    <w:rsid w:val="00EA5EC2"/>
    <w:rsid w:val="00EA764A"/>
    <w:rsid w:val="00EA7A41"/>
    <w:rsid w:val="00EB077B"/>
    <w:rsid w:val="00EB4EA2"/>
    <w:rsid w:val="00EB5FED"/>
    <w:rsid w:val="00EC24D5"/>
    <w:rsid w:val="00EC27C6"/>
    <w:rsid w:val="00EC4207"/>
    <w:rsid w:val="00EC5653"/>
    <w:rsid w:val="00EC71CE"/>
    <w:rsid w:val="00ED1006"/>
    <w:rsid w:val="00ED5332"/>
    <w:rsid w:val="00ED53CA"/>
    <w:rsid w:val="00ED7375"/>
    <w:rsid w:val="00EE05B2"/>
    <w:rsid w:val="00EE0F09"/>
    <w:rsid w:val="00EE229C"/>
    <w:rsid w:val="00EE30F5"/>
    <w:rsid w:val="00EE5C40"/>
    <w:rsid w:val="00EF09B6"/>
    <w:rsid w:val="00EF18FE"/>
    <w:rsid w:val="00EF5787"/>
    <w:rsid w:val="00EF60D0"/>
    <w:rsid w:val="00F03CB4"/>
    <w:rsid w:val="00F0528D"/>
    <w:rsid w:val="00F06C67"/>
    <w:rsid w:val="00F06DFD"/>
    <w:rsid w:val="00F071D1"/>
    <w:rsid w:val="00F07533"/>
    <w:rsid w:val="00F078E7"/>
    <w:rsid w:val="00F10629"/>
    <w:rsid w:val="00F10CD6"/>
    <w:rsid w:val="00F15FA5"/>
    <w:rsid w:val="00F209B7"/>
    <w:rsid w:val="00F20F5C"/>
    <w:rsid w:val="00F21C0C"/>
    <w:rsid w:val="00F2376F"/>
    <w:rsid w:val="00F238DF"/>
    <w:rsid w:val="00F243D8"/>
    <w:rsid w:val="00F30193"/>
    <w:rsid w:val="00F30828"/>
    <w:rsid w:val="00F313D6"/>
    <w:rsid w:val="00F344DB"/>
    <w:rsid w:val="00F3793A"/>
    <w:rsid w:val="00F37A10"/>
    <w:rsid w:val="00F40F0C"/>
    <w:rsid w:val="00F41F88"/>
    <w:rsid w:val="00F43291"/>
    <w:rsid w:val="00F45F12"/>
    <w:rsid w:val="00F467A2"/>
    <w:rsid w:val="00F4766C"/>
    <w:rsid w:val="00F5060E"/>
    <w:rsid w:val="00F507D1"/>
    <w:rsid w:val="00F519CE"/>
    <w:rsid w:val="00F51ADA"/>
    <w:rsid w:val="00F55DBA"/>
    <w:rsid w:val="00F60203"/>
    <w:rsid w:val="00F607C5"/>
    <w:rsid w:val="00F60DEA"/>
    <w:rsid w:val="00F619C5"/>
    <w:rsid w:val="00F6302A"/>
    <w:rsid w:val="00F6316E"/>
    <w:rsid w:val="00F63950"/>
    <w:rsid w:val="00F64C2B"/>
    <w:rsid w:val="00F651BE"/>
    <w:rsid w:val="00F669E8"/>
    <w:rsid w:val="00F67F53"/>
    <w:rsid w:val="00F703BE"/>
    <w:rsid w:val="00F70BCA"/>
    <w:rsid w:val="00F71F69"/>
    <w:rsid w:val="00F72B72"/>
    <w:rsid w:val="00F73ADE"/>
    <w:rsid w:val="00F74BB9"/>
    <w:rsid w:val="00F75582"/>
    <w:rsid w:val="00F7569B"/>
    <w:rsid w:val="00F76EFA"/>
    <w:rsid w:val="00F804BE"/>
    <w:rsid w:val="00F817CE"/>
    <w:rsid w:val="00F8394B"/>
    <w:rsid w:val="00F8456C"/>
    <w:rsid w:val="00F859D8"/>
    <w:rsid w:val="00F85A7B"/>
    <w:rsid w:val="00F868F5"/>
    <w:rsid w:val="00F9056A"/>
    <w:rsid w:val="00F90F8D"/>
    <w:rsid w:val="00F92782"/>
    <w:rsid w:val="00F9395F"/>
    <w:rsid w:val="00F93AA9"/>
    <w:rsid w:val="00F96985"/>
    <w:rsid w:val="00F97838"/>
    <w:rsid w:val="00FA2BB3"/>
    <w:rsid w:val="00FA3AD7"/>
    <w:rsid w:val="00FA5D44"/>
    <w:rsid w:val="00FB17F3"/>
    <w:rsid w:val="00FB4C80"/>
    <w:rsid w:val="00FB6060"/>
    <w:rsid w:val="00FB6A6A"/>
    <w:rsid w:val="00FB7E49"/>
    <w:rsid w:val="00FC07EA"/>
    <w:rsid w:val="00FC1A4B"/>
    <w:rsid w:val="00FC7429"/>
    <w:rsid w:val="00FD07F6"/>
    <w:rsid w:val="00FD1EC8"/>
    <w:rsid w:val="00FD22B2"/>
    <w:rsid w:val="00FD47ED"/>
    <w:rsid w:val="00FD74DB"/>
    <w:rsid w:val="00FD7660"/>
    <w:rsid w:val="00FE0655"/>
    <w:rsid w:val="00FE2365"/>
    <w:rsid w:val="00FE2C7F"/>
    <w:rsid w:val="00FE37D7"/>
    <w:rsid w:val="00FE479A"/>
    <w:rsid w:val="00FE4C7B"/>
    <w:rsid w:val="00FE7336"/>
    <w:rsid w:val="00FE787C"/>
    <w:rsid w:val="00FE7947"/>
    <w:rsid w:val="00FF0F3B"/>
    <w:rsid w:val="00FF159C"/>
    <w:rsid w:val="00FF45A5"/>
    <w:rsid w:val="00FF5247"/>
    <w:rsid w:val="00FF5C91"/>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877962D8-EDA0-4A7E-A9E5-9A7E38709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 w:type="paragraph" w:styleId="Revision">
    <w:name w:val="Revision"/>
    <w:hidden/>
    <w:uiPriority w:val="99"/>
    <w:semiHidden/>
    <w:rsid w:val="00FE794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9b239327-9e80-40e4-b1b7-4394fed77a33"/>
    <ds:schemaRef ds:uri="http://schemas.microsoft.com/sharepoint/v3"/>
    <ds:schemaRef ds:uri="2f282d3b-eb4a-4b09-b61f-b9593442e286"/>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d8762117-8292-4133-b1c7-eab5c6487cf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2</Pages>
  <Words>2784</Words>
  <Characters>15873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18620</CharactersWithSpaces>
  <SharedDoc>false</SharedDoc>
  <HLinks>
    <vt:vector size="54"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ariant>
        <vt:i4>4259949</vt:i4>
      </vt:variant>
      <vt:variant>
        <vt:i4>18</vt:i4>
      </vt:variant>
      <vt:variant>
        <vt:i4>0</vt:i4>
      </vt:variant>
      <vt:variant>
        <vt:i4>5</vt:i4>
      </vt:variant>
      <vt:variant>
        <vt:lpwstr>mailto:robert.s.karlsson@ericsson.com</vt:lpwstr>
      </vt:variant>
      <vt:variant>
        <vt:lpwstr/>
      </vt:variant>
      <vt:variant>
        <vt:i4>4849790</vt:i4>
      </vt:variant>
      <vt:variant>
        <vt:i4>15</vt:i4>
      </vt:variant>
      <vt:variant>
        <vt:i4>0</vt:i4>
      </vt:variant>
      <vt:variant>
        <vt:i4>5</vt:i4>
      </vt:variant>
      <vt:variant>
        <vt:lpwstr>mailto:helka-liina.maattanen@ericsson.com</vt:lpwstr>
      </vt:variant>
      <vt:variant>
        <vt:lpwstr/>
      </vt:variant>
      <vt:variant>
        <vt:i4>5505148</vt:i4>
      </vt:variant>
      <vt:variant>
        <vt:i4>12</vt:i4>
      </vt:variant>
      <vt:variant>
        <vt:i4>0</vt:i4>
      </vt:variant>
      <vt:variant>
        <vt:i4>5</vt:i4>
      </vt:variant>
      <vt:variant>
        <vt:lpwstr>mailto:ignacio.pascual.pelayo@ericsson.com</vt:lpwstr>
      </vt:variant>
      <vt:variant>
        <vt:lpwstr/>
      </vt:variant>
      <vt:variant>
        <vt:i4>4259949</vt:i4>
      </vt:variant>
      <vt:variant>
        <vt:i4>9</vt:i4>
      </vt:variant>
      <vt:variant>
        <vt:i4>0</vt:i4>
      </vt:variant>
      <vt:variant>
        <vt:i4>5</vt:i4>
      </vt:variant>
      <vt:variant>
        <vt:lpwstr>mailto:robert.s.karlsson@ericsson.com</vt:lpwstr>
      </vt:variant>
      <vt:variant>
        <vt:lpwstr/>
      </vt:variant>
      <vt:variant>
        <vt:i4>5242923</vt:i4>
      </vt:variant>
      <vt:variant>
        <vt:i4>6</vt:i4>
      </vt:variant>
      <vt:variant>
        <vt:i4>0</vt:i4>
      </vt:variant>
      <vt:variant>
        <vt:i4>5</vt:i4>
      </vt:variant>
      <vt:variant>
        <vt:lpwstr>mailto:johan.rune@ericsson.com</vt:lpwstr>
      </vt:variant>
      <vt:variant>
        <vt:lpwstr/>
      </vt:variant>
      <vt:variant>
        <vt:i4>2949194</vt:i4>
      </vt:variant>
      <vt:variant>
        <vt:i4>3</vt:i4>
      </vt:variant>
      <vt:variant>
        <vt:i4>0</vt:i4>
      </vt:variant>
      <vt:variant>
        <vt:i4>5</vt:i4>
      </vt:variant>
      <vt:variant>
        <vt:lpwstr>mailto:sebastian.euler@ericsson.com</vt:lpwstr>
      </vt:variant>
      <vt:variant>
        <vt:lpwstr/>
      </vt:variant>
      <vt:variant>
        <vt:i4>2490392</vt:i4>
      </vt:variant>
      <vt:variant>
        <vt:i4>0</vt:i4>
      </vt:variant>
      <vt:variant>
        <vt:i4>0</vt:i4>
      </vt:variant>
      <vt:variant>
        <vt:i4>5</vt:i4>
      </vt:variant>
      <vt:variant>
        <vt:lpwstr>mailto:claes-goran.persson@ericsson.com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Rapporteur</cp:lastModifiedBy>
  <cp:revision>198</cp:revision>
  <cp:lastPrinted>2008-01-31T16:09:00Z</cp:lastPrinted>
  <dcterms:created xsi:type="dcterms:W3CDTF">2022-09-23T14:07:00Z</dcterms:created>
  <dcterms:modified xsi:type="dcterms:W3CDTF">2022-09-30T10:02:00Z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